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"/>
        <w:gridCol w:w="5305"/>
        <w:gridCol w:w="2670"/>
      </w:tblGrid>
      <w:tr w:rsidR="00F402D9" w14:paraId="0B8E90AC" w14:textId="7777777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000" w:type="dxa"/>
          </w:tcPr>
          <w:p w14:paraId="331E32D1" w14:textId="77777777" w:rsidR="00F402D9" w:rsidRDefault="0035533D">
            <w:r>
              <w:pict w14:anchorId="22211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9pt;height:101.9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  <w:tc>
          <w:tcPr>
            <w:tcW w:w="7000" w:type="dxa"/>
            <w:vAlign w:val="bottom"/>
          </w:tcPr>
          <w:p w14:paraId="28904B47" w14:textId="77777777" w:rsidR="00F402D9" w:rsidRDefault="00F402D9">
            <w:pPr>
              <w:pStyle w:val="pStyle"/>
            </w:pPr>
          </w:p>
          <w:p w14:paraId="42A4BAFC" w14:textId="77777777" w:rsidR="00F402D9" w:rsidRDefault="0035533D">
            <w:pPr>
              <w:pStyle w:val="pStyle3"/>
            </w:pPr>
            <w:r>
              <w:t>РЕПУБЛИКА СРБИЈА</w:t>
            </w:r>
          </w:p>
          <w:p w14:paraId="44A6275E" w14:textId="77777777" w:rsidR="00F402D9" w:rsidRDefault="0035533D">
            <w:pPr>
              <w:pStyle w:val="pStyle3"/>
            </w:pPr>
            <w:r>
              <w:t>ЈАВНИ ИЗВРШИТЕЉ ИВАН МИЛОВАНОВИЋ</w:t>
            </w:r>
          </w:p>
          <w:p w14:paraId="3541287A" w14:textId="77777777" w:rsidR="00F402D9" w:rsidRDefault="0035533D">
            <w:pPr>
              <w:pStyle w:val="pStyle3"/>
            </w:pPr>
            <w:proofErr w:type="spellStart"/>
            <w:r>
              <w:t>Именован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подручје</w:t>
            </w:r>
            <w:proofErr w:type="spellEnd"/>
            <w:r>
              <w:t xml:space="preserve"> </w:t>
            </w:r>
            <w:proofErr w:type="spellStart"/>
            <w:r>
              <w:t>Вишег</w:t>
            </w:r>
            <w:proofErr w:type="spellEnd"/>
            <w:r>
              <w:t xml:space="preserve"> </w:t>
            </w:r>
            <w:proofErr w:type="spellStart"/>
            <w:r>
              <w:t>суда</w:t>
            </w:r>
            <w:proofErr w:type="spellEnd"/>
            <w:r>
              <w:t xml:space="preserve"> у </w:t>
            </w:r>
            <w:proofErr w:type="spellStart"/>
            <w:r>
              <w:t>Краљеву</w:t>
            </w:r>
            <w:proofErr w:type="spellEnd"/>
            <w:r>
              <w:t xml:space="preserve"> и </w:t>
            </w:r>
            <w:proofErr w:type="spellStart"/>
            <w:r>
              <w:t>Привредног</w:t>
            </w:r>
            <w:proofErr w:type="spellEnd"/>
            <w:r>
              <w:t xml:space="preserve"> </w:t>
            </w:r>
            <w:proofErr w:type="spellStart"/>
            <w:r>
              <w:t>суда</w:t>
            </w:r>
            <w:proofErr w:type="spellEnd"/>
            <w:r>
              <w:t xml:space="preserve"> у </w:t>
            </w:r>
            <w:proofErr w:type="spellStart"/>
            <w:r>
              <w:t>Краљеву</w:t>
            </w:r>
            <w:proofErr w:type="spellEnd"/>
          </w:p>
          <w:p w14:paraId="1FBA964E" w14:textId="77777777" w:rsidR="00F402D9" w:rsidRDefault="0035533D">
            <w:pPr>
              <w:pStyle w:val="pStyle3"/>
            </w:pPr>
            <w:proofErr w:type="spellStart"/>
            <w:r>
              <w:t>Краљево</w:t>
            </w:r>
            <w:proofErr w:type="spellEnd"/>
            <w:r>
              <w:t xml:space="preserve">, </w:t>
            </w:r>
            <w:proofErr w:type="spellStart"/>
            <w:r>
              <w:t>Трг</w:t>
            </w:r>
            <w:proofErr w:type="spellEnd"/>
            <w:r>
              <w:t xml:space="preserve"> </w:t>
            </w:r>
            <w:proofErr w:type="spellStart"/>
            <w:r>
              <w:t>српских</w:t>
            </w:r>
            <w:proofErr w:type="spellEnd"/>
            <w:r>
              <w:t xml:space="preserve"> </w:t>
            </w:r>
            <w:proofErr w:type="spellStart"/>
            <w:r>
              <w:t>ратника</w:t>
            </w:r>
            <w:proofErr w:type="spellEnd"/>
            <w:r>
              <w:t xml:space="preserve"> 3 A</w:t>
            </w:r>
          </w:p>
          <w:p w14:paraId="5424FAD6" w14:textId="77777777" w:rsidR="00F402D9" w:rsidRDefault="0035533D">
            <w:pPr>
              <w:pStyle w:val="pStyle3"/>
            </w:pPr>
            <w:proofErr w:type="spellStart"/>
            <w:r>
              <w:t>Телефон</w:t>
            </w:r>
            <w:proofErr w:type="spellEnd"/>
            <w:r>
              <w:t>: 036/312-515, 063/633-428</w:t>
            </w:r>
          </w:p>
        </w:tc>
        <w:tc>
          <w:tcPr>
            <w:tcW w:w="4000" w:type="dxa"/>
          </w:tcPr>
          <w:p w14:paraId="29B7CF0B" w14:textId="77777777" w:rsidR="00F402D9" w:rsidRDefault="00F402D9"/>
        </w:tc>
      </w:tr>
    </w:tbl>
    <w:p w14:paraId="7750C862" w14:textId="77777777" w:rsidR="00F402D9" w:rsidRDefault="00F402D9"/>
    <w:p w14:paraId="712456C1" w14:textId="77777777" w:rsidR="00F402D9" w:rsidRDefault="0035533D">
      <w:pPr>
        <w:pStyle w:val="pStyle"/>
      </w:pPr>
      <w:proofErr w:type="spellStart"/>
      <w:r>
        <w:t>Пословни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. ИИВ 74/23</w:t>
      </w:r>
    </w:p>
    <w:p w14:paraId="1A210D65" w14:textId="77777777" w:rsidR="00F402D9" w:rsidRDefault="0035533D">
      <w:pPr>
        <w:pStyle w:val="pStyle"/>
      </w:pPr>
      <w:proofErr w:type="spellStart"/>
      <w:r>
        <w:t>Идент</w:t>
      </w:r>
      <w:proofErr w:type="spellEnd"/>
      <w:r>
        <w:t xml:space="preserve">. </w:t>
      </w:r>
      <w:proofErr w:type="spellStart"/>
      <w:r>
        <w:t>број</w:t>
      </w:r>
      <w:proofErr w:type="spellEnd"/>
      <w:r>
        <w:t>: 47-02-00074-23-0227</w:t>
      </w:r>
    </w:p>
    <w:p w14:paraId="010BA919" w14:textId="77777777" w:rsidR="00F402D9" w:rsidRDefault="0035533D">
      <w:pPr>
        <w:pStyle w:val="pStyle"/>
      </w:pPr>
      <w:proofErr w:type="spellStart"/>
      <w:r>
        <w:t>Дана</w:t>
      </w:r>
      <w:proofErr w:type="spellEnd"/>
      <w:r>
        <w:t xml:space="preserve"> 05.03.2024. </w:t>
      </w:r>
      <w:proofErr w:type="spellStart"/>
      <w:r>
        <w:t>године</w:t>
      </w:r>
      <w:proofErr w:type="spellEnd"/>
    </w:p>
    <w:p w14:paraId="3762C98C" w14:textId="77777777" w:rsidR="00F402D9" w:rsidRDefault="00F402D9"/>
    <w:p w14:paraId="63DAD2CE" w14:textId="77777777" w:rsidR="00F402D9" w:rsidRDefault="0035533D">
      <w:pPr>
        <w:pStyle w:val="pStyle2"/>
      </w:pPr>
      <w:proofErr w:type="spellStart"/>
      <w:r>
        <w:t>Јавни</w:t>
      </w:r>
      <w:proofErr w:type="spellEnd"/>
      <w:r>
        <w:t xml:space="preserve"> </w:t>
      </w:r>
      <w:proofErr w:type="spellStart"/>
      <w:r>
        <w:t>извршитељ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подручје</w:t>
      </w:r>
      <w:proofErr w:type="spellEnd"/>
      <w:r>
        <w:t xml:space="preserve"> </w:t>
      </w:r>
      <w:proofErr w:type="spellStart"/>
      <w:r>
        <w:t>Вишег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Краљеву</w:t>
      </w:r>
      <w:proofErr w:type="spellEnd"/>
      <w:r>
        <w:t xml:space="preserve"> и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Краљеву</w:t>
      </w:r>
      <w:proofErr w:type="spellEnd"/>
      <w:r>
        <w:t xml:space="preserve"> 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Миловановић</w:t>
      </w:r>
      <w:proofErr w:type="spellEnd"/>
      <w:r>
        <w:t xml:space="preserve">, у </w:t>
      </w:r>
      <w:proofErr w:type="spellStart"/>
      <w:r>
        <w:t>извршном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повериоца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 xml:space="preserve"> </w:t>
      </w:r>
      <w:proofErr w:type="spellStart"/>
      <w:r>
        <w:t>Поштанска</w:t>
      </w:r>
      <w:proofErr w:type="spellEnd"/>
      <w:r>
        <w:t xml:space="preserve"> </w:t>
      </w:r>
      <w:proofErr w:type="spellStart"/>
      <w:r>
        <w:t>штедионица</w:t>
      </w:r>
      <w:proofErr w:type="spellEnd"/>
      <w:r>
        <w:t xml:space="preserve">, </w:t>
      </w:r>
      <w:proofErr w:type="spellStart"/>
      <w:r>
        <w:t>акционарско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,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КРАЉИЦЕ МАРИЈЕ 3,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пуномоћник</w:t>
      </w:r>
      <w:proofErr w:type="spellEnd"/>
      <w:r>
        <w:t xml:space="preserve"> </w:t>
      </w:r>
      <w:proofErr w:type="spellStart"/>
      <w:r>
        <w:t>адв</w:t>
      </w:r>
      <w:proofErr w:type="spellEnd"/>
      <w:r>
        <w:t xml:space="preserve">. </w:t>
      </w:r>
      <w:proofErr w:type="spellStart"/>
      <w:r>
        <w:t>Милан</w:t>
      </w:r>
      <w:proofErr w:type="spellEnd"/>
      <w:r>
        <w:t xml:space="preserve"> </w:t>
      </w:r>
      <w:proofErr w:type="spellStart"/>
      <w:r>
        <w:t>Петровић</w:t>
      </w:r>
      <w:proofErr w:type="spellEnd"/>
      <w:r>
        <w:t xml:space="preserve">, </w:t>
      </w:r>
      <w:proofErr w:type="spellStart"/>
      <w:r>
        <w:t>Ниш</w:t>
      </w:r>
      <w:proofErr w:type="spellEnd"/>
      <w:r>
        <w:t xml:space="preserve">, </w:t>
      </w:r>
      <w:proofErr w:type="spellStart"/>
      <w:r>
        <w:t>Синђелићев</w:t>
      </w:r>
      <w:proofErr w:type="spellEnd"/>
      <w:r>
        <w:t xml:space="preserve"> </w:t>
      </w:r>
      <w:proofErr w:type="spellStart"/>
      <w:r>
        <w:t>трг</w:t>
      </w:r>
      <w:proofErr w:type="spellEnd"/>
      <w:r>
        <w:t xml:space="preserve"> 1,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SAMOSTALANA TRGOVINSKA RADNJA ENCA-PROM PAVLOVIĆ ZLATAN PREDUZETNIK, NOVI PAZAR,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Пазар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Јаћима</w:t>
      </w:r>
      <w:proofErr w:type="spellEnd"/>
      <w:r>
        <w:t xml:space="preserve"> </w:t>
      </w:r>
      <w:proofErr w:type="spellStart"/>
      <w:r>
        <w:t>Ристовића</w:t>
      </w:r>
      <w:proofErr w:type="spellEnd"/>
      <w:r>
        <w:t xml:space="preserve"> </w:t>
      </w:r>
      <w:proofErr w:type="spellStart"/>
      <w:r>
        <w:t>бб</w:t>
      </w:r>
      <w:proofErr w:type="spellEnd"/>
      <w:r>
        <w:t xml:space="preserve">, </w:t>
      </w:r>
      <w:proofErr w:type="spellStart"/>
      <w:r>
        <w:t>Златан</w:t>
      </w:r>
      <w:proofErr w:type="spellEnd"/>
      <w:r>
        <w:t xml:space="preserve"> </w:t>
      </w:r>
      <w:proofErr w:type="spellStart"/>
      <w:r>
        <w:t>Павловић</w:t>
      </w:r>
      <w:proofErr w:type="spellEnd"/>
      <w:r>
        <w:t xml:space="preserve">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Пазар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Јаћима</w:t>
      </w:r>
      <w:proofErr w:type="spellEnd"/>
      <w:r>
        <w:t xml:space="preserve"> </w:t>
      </w:r>
      <w:proofErr w:type="spellStart"/>
      <w:r>
        <w:t>Ристовића</w:t>
      </w:r>
      <w:proofErr w:type="spellEnd"/>
      <w:r>
        <w:t xml:space="preserve"> </w:t>
      </w:r>
      <w:proofErr w:type="spellStart"/>
      <w:r>
        <w:t>бб</w:t>
      </w:r>
      <w:proofErr w:type="spellEnd"/>
      <w:r>
        <w:t xml:space="preserve">,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одређеног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Краљеву</w:t>
      </w:r>
      <w:proofErr w:type="spellEnd"/>
      <w:r>
        <w:t xml:space="preserve"> ИИв-305/2023 </w:t>
      </w:r>
      <w:proofErr w:type="spellStart"/>
      <w:r>
        <w:t>од</w:t>
      </w:r>
      <w:proofErr w:type="spellEnd"/>
      <w:r>
        <w:t xml:space="preserve"> 25.04.2023.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намирења</w:t>
      </w:r>
      <w:proofErr w:type="spellEnd"/>
      <w:r>
        <w:t xml:space="preserve"> </w:t>
      </w:r>
      <w:proofErr w:type="spellStart"/>
      <w:r>
        <w:t>новчаног</w:t>
      </w:r>
      <w:proofErr w:type="spellEnd"/>
      <w:r>
        <w:t xml:space="preserve"> </w:t>
      </w:r>
      <w:proofErr w:type="spellStart"/>
      <w:r>
        <w:t>потраживања</w:t>
      </w:r>
      <w:proofErr w:type="spellEnd"/>
      <w:r>
        <w:t xml:space="preserve">,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05.03.2024.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следећи</w:t>
      </w:r>
      <w:proofErr w:type="spellEnd"/>
    </w:p>
    <w:p w14:paraId="5CD6110F" w14:textId="77777777" w:rsidR="00F402D9" w:rsidRDefault="0035533D">
      <w:pPr>
        <w:pStyle w:val="heading11"/>
      </w:pPr>
      <w:bookmarkStart w:id="0" w:name="_Toc1"/>
      <w:r>
        <w:t>ЗАКЉУЧАК О ПРОДАЈИ ПОКРЕТНИХ СТВАРИ ПУТЕМ</w:t>
      </w:r>
      <w:bookmarkEnd w:id="0"/>
    </w:p>
    <w:p w14:paraId="1B595FB1" w14:textId="77777777" w:rsidR="00F402D9" w:rsidRDefault="0035533D">
      <w:pPr>
        <w:pStyle w:val="heading12"/>
      </w:pPr>
      <w:bookmarkStart w:id="1" w:name="_Toc2"/>
      <w:r>
        <w:t>ЕЛЕКТРОНСКОГ ЈАВНОГ НАДМЕТАЊА</w:t>
      </w:r>
      <w:bookmarkEnd w:id="1"/>
    </w:p>
    <w:p w14:paraId="4EB8CAB6" w14:textId="77777777" w:rsidR="00F402D9" w:rsidRDefault="0035533D">
      <w:pPr>
        <w:pStyle w:val="pStyle22"/>
      </w:pPr>
      <w:r>
        <w:t>I</w:t>
      </w:r>
      <w:r>
        <w:tab/>
        <w:t xml:space="preserve">ОДРЕЂУЈУ СЕ УСЛОВИ </w:t>
      </w:r>
      <w:r>
        <w:rPr>
          <w:color w:val="FF0000"/>
        </w:rPr>
        <w:t xml:space="preserve">ПРВЕ </w:t>
      </w:r>
      <w:r>
        <w:t>ПРОДАЈЕ ПУТЕМ ЕЛЕКТРОНСКОГ ЈАВНОГ НАДМЕТАЊА</w:t>
      </w:r>
      <w:r>
        <w:t xml:space="preserve"> </w:t>
      </w:r>
      <w:proofErr w:type="spellStart"/>
      <w:r>
        <w:t>покретних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</w:t>
      </w:r>
      <w:proofErr w:type="spellStart"/>
      <w:r>
        <w:t>пописаних</w:t>
      </w:r>
      <w:proofErr w:type="spellEnd"/>
      <w:r>
        <w:t xml:space="preserve"> и </w:t>
      </w:r>
      <w:proofErr w:type="spellStart"/>
      <w:r>
        <w:t>процењених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Записнику</w:t>
      </w:r>
      <w:proofErr w:type="spellEnd"/>
      <w:r>
        <w:t xml:space="preserve"> о </w:t>
      </w:r>
      <w:proofErr w:type="spellStart"/>
      <w:r>
        <w:t>попису</w:t>
      </w:r>
      <w:proofErr w:type="spellEnd"/>
      <w:r>
        <w:t xml:space="preserve"> и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посл</w:t>
      </w:r>
      <w:proofErr w:type="spellEnd"/>
      <w:r>
        <w:t xml:space="preserve">. </w:t>
      </w:r>
      <w:proofErr w:type="spellStart"/>
      <w:r>
        <w:t>бр</w:t>
      </w:r>
      <w:proofErr w:type="spellEnd"/>
      <w:r>
        <w:t xml:space="preserve">. ИИВ 74/23 </w:t>
      </w:r>
      <w:proofErr w:type="spellStart"/>
      <w:r>
        <w:t>од</w:t>
      </w:r>
      <w:proofErr w:type="spellEnd"/>
      <w:r>
        <w:t xml:space="preserve"> 04.03.2024. </w:t>
      </w:r>
      <w:proofErr w:type="spellStart"/>
      <w:r>
        <w:t>године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</w:t>
      </w:r>
    </w:p>
    <w:tbl>
      <w:tblPr>
        <w:tblStyle w:val="tabela1"/>
        <w:tblW w:w="0" w:type="auto"/>
        <w:tblInd w:w="0" w:type="dxa"/>
        <w:tblLook w:val="04A0" w:firstRow="1" w:lastRow="0" w:firstColumn="1" w:lastColumn="0" w:noHBand="0" w:noVBand="1"/>
      </w:tblPr>
      <w:tblGrid>
        <w:gridCol w:w="485"/>
        <w:gridCol w:w="1126"/>
        <w:gridCol w:w="4146"/>
        <w:gridCol w:w="701"/>
        <w:gridCol w:w="1405"/>
        <w:gridCol w:w="1202"/>
      </w:tblGrid>
      <w:tr w:rsidR="00F402D9" w14:paraId="1D3CB66E" w14:textId="77777777">
        <w:trPr>
          <w:trHeight w:val="1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597EA" w14:textId="77777777" w:rsidR="00F402D9" w:rsidRDefault="0035533D">
            <w:pPr>
              <w:pStyle w:val="pStyle3"/>
            </w:pPr>
            <w:r>
              <w:t>РБ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19FC8" w14:textId="77777777" w:rsidR="00F402D9" w:rsidRDefault="0035533D">
            <w:pPr>
              <w:pStyle w:val="pStyle3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пописне</w:t>
            </w:r>
            <w:proofErr w:type="spellEnd"/>
            <w:r>
              <w:t xml:space="preserve"> </w:t>
            </w:r>
            <w:proofErr w:type="spellStart"/>
            <w:r>
              <w:t>маркице</w:t>
            </w:r>
            <w:proofErr w:type="spellEnd"/>
          </w:p>
        </w:tc>
        <w:tc>
          <w:tcPr>
            <w:tcW w:w="1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BA935" w14:textId="77777777" w:rsidR="00F402D9" w:rsidRDefault="0035533D">
            <w:pPr>
              <w:pStyle w:val="pStyle3"/>
            </w:pPr>
            <w:proofErr w:type="spellStart"/>
            <w:r>
              <w:t>Ближи</w:t>
            </w:r>
            <w:proofErr w:type="spellEnd"/>
            <w:r>
              <w:t xml:space="preserve"> </w:t>
            </w:r>
            <w:proofErr w:type="spellStart"/>
            <w:r>
              <w:t>опис</w:t>
            </w:r>
            <w:proofErr w:type="spellEnd"/>
            <w:r>
              <w:t xml:space="preserve"> </w:t>
            </w:r>
            <w:proofErr w:type="spellStart"/>
            <w:r>
              <w:t>ствари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6F8CC" w14:textId="77777777" w:rsidR="00F402D9" w:rsidRDefault="0035533D">
            <w:pPr>
              <w:pStyle w:val="pStyle3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379D5" w14:textId="77777777" w:rsidR="00F402D9" w:rsidRDefault="0035533D">
            <w:pPr>
              <w:pStyle w:val="pStyle3"/>
            </w:pPr>
            <w:proofErr w:type="spellStart"/>
            <w:r>
              <w:t>Процењена</w:t>
            </w:r>
            <w:proofErr w:type="spellEnd"/>
            <w:r>
              <w:t xml:space="preserve"> </w:t>
            </w:r>
            <w:proofErr w:type="spellStart"/>
            <w:r>
              <w:t>вредност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дан</w:t>
            </w:r>
            <w:proofErr w:type="spellEnd"/>
            <w:r>
              <w:t xml:space="preserve"> </w:t>
            </w:r>
            <w:proofErr w:type="spellStart"/>
            <w:r>
              <w:t>процене</w:t>
            </w:r>
            <w:proofErr w:type="spellEnd"/>
            <w:r>
              <w:t xml:space="preserve"> у РСД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5C469" w14:textId="77777777" w:rsidR="00F402D9" w:rsidRDefault="0035533D">
            <w:pPr>
              <w:pStyle w:val="pStyle3"/>
            </w:pPr>
            <w:proofErr w:type="spellStart"/>
            <w:r>
              <w:t>Почетна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 у РСД</w:t>
            </w:r>
          </w:p>
        </w:tc>
      </w:tr>
      <w:tr w:rsidR="00F402D9" w14:paraId="55463626" w14:textId="77777777">
        <w:trPr>
          <w:trHeight w:val="14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F5BF9" w14:textId="77777777" w:rsidR="00F402D9" w:rsidRDefault="0035533D">
            <w:pPr>
              <w:pStyle w:val="pStyle3"/>
            </w:pPr>
            <w:r>
              <w:t>1.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83A45" w14:textId="42B44E0C" w:rsidR="00F402D9" w:rsidRPr="0035533D" w:rsidRDefault="0035533D" w:rsidP="003553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0630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04899" w14:textId="76CC3900" w:rsidR="00F402D9" w:rsidRPr="0035533D" w:rsidRDefault="0035533D">
            <w:pPr>
              <w:rPr>
                <w:lang w:val="sr-Cyrl-RS"/>
              </w:rPr>
            </w:pPr>
            <w:r>
              <w:rPr>
                <w:lang w:val="sr-Cyrl-RS"/>
              </w:rPr>
              <w:t>Расхладна витрина црвене боје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E0621" w14:textId="751C3321" w:rsidR="00F402D9" w:rsidRPr="0035533D" w:rsidRDefault="0035533D" w:rsidP="003553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CCB9" w14:textId="56E365BE" w:rsidR="00F402D9" w:rsidRPr="0035533D" w:rsidRDefault="0035533D" w:rsidP="0035533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3998B" w14:textId="546CCEF3" w:rsidR="00F402D9" w:rsidRPr="0035533D" w:rsidRDefault="0035533D" w:rsidP="0035533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15.400,00</w:t>
            </w:r>
          </w:p>
        </w:tc>
      </w:tr>
      <w:tr w:rsidR="0035533D" w14:paraId="56CE3E0B" w14:textId="77777777">
        <w:trPr>
          <w:trHeight w:val="14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F0992" w14:textId="4EF04635" w:rsidR="0035533D" w:rsidRPr="0035533D" w:rsidRDefault="0035533D">
            <w:pPr>
              <w:pStyle w:val="pStyle3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E342" w14:textId="1F59D341" w:rsidR="0035533D" w:rsidRPr="0035533D" w:rsidRDefault="0035533D" w:rsidP="003553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0631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11DD0" w14:textId="01D4C992" w:rsidR="0035533D" w:rsidRPr="0035533D" w:rsidRDefault="0035533D">
            <w:pPr>
              <w:rPr>
                <w:lang w:val="sr-Cyrl-RS"/>
              </w:rPr>
            </w:pPr>
            <w:r>
              <w:rPr>
                <w:lang w:val="sr-Cyrl-RS"/>
              </w:rPr>
              <w:t>Пулт, метални, плаве боје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18F4D" w14:textId="55E277D7" w:rsidR="0035533D" w:rsidRPr="0035533D" w:rsidRDefault="0035533D" w:rsidP="003553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3558A" w14:textId="57FECA33" w:rsidR="0035533D" w:rsidRPr="0035533D" w:rsidRDefault="0035533D" w:rsidP="0035533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55D6E" w14:textId="2C44C92D" w:rsidR="0035533D" w:rsidRPr="0035533D" w:rsidRDefault="0035533D" w:rsidP="0035533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10.500,00</w:t>
            </w:r>
          </w:p>
        </w:tc>
      </w:tr>
      <w:tr w:rsidR="0035533D" w14:paraId="0D6D13EA" w14:textId="77777777">
        <w:trPr>
          <w:trHeight w:val="14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2A429" w14:textId="1EF2CC74" w:rsidR="0035533D" w:rsidRPr="0035533D" w:rsidRDefault="0035533D">
            <w:pPr>
              <w:pStyle w:val="pStyle3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06D1F" w14:textId="08C4BF85" w:rsidR="0035533D" w:rsidRPr="0035533D" w:rsidRDefault="0035533D" w:rsidP="003553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0632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708E3" w14:textId="36A269B9" w:rsidR="0035533D" w:rsidRPr="0035533D" w:rsidRDefault="0035533D">
            <w:pPr>
              <w:rPr>
                <w:lang w:val="sr-Cyrl-RS"/>
              </w:rPr>
            </w:pPr>
            <w:r>
              <w:rPr>
                <w:lang w:val="sr-Cyrl-RS"/>
              </w:rPr>
              <w:t>Витрина дрвена за хлеб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CE95F" w14:textId="6C1C60E0" w:rsidR="0035533D" w:rsidRPr="0035533D" w:rsidRDefault="0035533D" w:rsidP="003553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1B38F" w14:textId="22BB48CB" w:rsidR="0035533D" w:rsidRPr="0035533D" w:rsidRDefault="0035533D" w:rsidP="0035533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24AD0" w14:textId="26DE0AB6" w:rsidR="0035533D" w:rsidRPr="0035533D" w:rsidRDefault="0035533D" w:rsidP="0035533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14.000,00</w:t>
            </w:r>
          </w:p>
        </w:tc>
      </w:tr>
      <w:tr w:rsidR="0035533D" w14:paraId="5796CC1D" w14:textId="77777777">
        <w:trPr>
          <w:trHeight w:val="14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BEE55" w14:textId="32425476" w:rsidR="0035533D" w:rsidRPr="0035533D" w:rsidRDefault="0035533D">
            <w:pPr>
              <w:pStyle w:val="pStyle3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3150A" w14:textId="3C99D8BA" w:rsidR="0035533D" w:rsidRPr="0035533D" w:rsidRDefault="0035533D" w:rsidP="003553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0633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AD22A" w14:textId="220A2758" w:rsidR="0035533D" w:rsidRPr="0035533D" w:rsidRDefault="0035533D">
            <w:pPr>
              <w:rPr>
                <w:lang w:val="sr-Cyrl-RS"/>
              </w:rPr>
            </w:pPr>
            <w:r>
              <w:rPr>
                <w:lang w:val="sr-Cyrl-RS"/>
              </w:rPr>
              <w:t>Метални рафови, разни модели и боје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D4B35" w14:textId="17BD4F30" w:rsidR="0035533D" w:rsidRPr="0035533D" w:rsidRDefault="0035533D" w:rsidP="003553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7F343" w14:textId="77777777" w:rsidR="0035533D" w:rsidRDefault="0035533D" w:rsidP="0035533D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Укупна вредност</w:t>
            </w:r>
          </w:p>
          <w:p w14:paraId="47DB0D34" w14:textId="2A48183E" w:rsidR="0035533D" w:rsidRPr="0035533D" w:rsidRDefault="0035533D" w:rsidP="0035533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65710" w14:textId="4120C1BE" w:rsidR="0035533D" w:rsidRPr="0035533D" w:rsidRDefault="0035533D" w:rsidP="0035533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77.000,00</w:t>
            </w:r>
          </w:p>
        </w:tc>
      </w:tr>
    </w:tbl>
    <w:p w14:paraId="019822AE" w14:textId="4B73E931" w:rsidR="00F402D9" w:rsidRDefault="0035533D">
      <w:pPr>
        <w:pStyle w:val="pStyle22"/>
      </w:pPr>
      <w:r>
        <w:lastRenderedPageBreak/>
        <w:t>II</w:t>
      </w:r>
      <w:r>
        <w:tab/>
      </w:r>
      <w:proofErr w:type="spellStart"/>
      <w:r>
        <w:rPr>
          <w:color w:val="FF0000"/>
        </w:rPr>
        <w:t>Прво</w:t>
      </w:r>
      <w:proofErr w:type="spellEnd"/>
      <w:r>
        <w:rPr>
          <w:color w:val="FF0000"/>
        </w:rPr>
        <w:t xml:space="preserve"> </w:t>
      </w:r>
      <w:proofErr w:type="spellStart"/>
      <w:r>
        <w:t>електронско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одржава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 w:rsidRPr="0035533D">
        <w:rPr>
          <w:b/>
          <w:bCs/>
        </w:rPr>
        <w:t>дана</w:t>
      </w:r>
      <w:proofErr w:type="spellEnd"/>
      <w:r w:rsidRPr="0035533D">
        <w:rPr>
          <w:b/>
          <w:bCs/>
        </w:rPr>
        <w:t xml:space="preserve"> </w:t>
      </w:r>
      <w:r w:rsidRPr="0035533D">
        <w:rPr>
          <w:b/>
          <w:bCs/>
          <w:lang w:val="sr-Cyrl-RS"/>
        </w:rPr>
        <w:t>04.04.2024.</w:t>
      </w:r>
      <w:r w:rsidRPr="0035533D">
        <w:rPr>
          <w:b/>
          <w:bCs/>
        </w:rPr>
        <w:t xml:space="preserve"> </w:t>
      </w:r>
      <w:proofErr w:type="spellStart"/>
      <w:r w:rsidRPr="0035533D">
        <w:rPr>
          <w:b/>
          <w:bCs/>
        </w:rPr>
        <w:t>године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09 </w:t>
      </w:r>
      <w:proofErr w:type="spellStart"/>
      <w:r>
        <w:t>до</w:t>
      </w:r>
      <w:proofErr w:type="spellEnd"/>
      <w:r>
        <w:t xml:space="preserve"> 15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- </w:t>
      </w:r>
      <w:r>
        <w:rPr>
          <w:color w:val="FF0000"/>
        </w:rPr>
        <w:t>www.еaukcija.gov.rs</w:t>
      </w:r>
      <w:r>
        <w:t xml:space="preserve"> (https://eaukcija.sud.rs/), с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најдуже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,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09 </w:t>
      </w:r>
      <w:proofErr w:type="spellStart"/>
      <w:r>
        <w:t>до</w:t>
      </w:r>
      <w:proofErr w:type="spellEnd"/>
      <w:r>
        <w:t xml:space="preserve"> 13 </w:t>
      </w:r>
      <w:proofErr w:type="spellStart"/>
      <w:r>
        <w:t>часова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 у </w:t>
      </w:r>
      <w:proofErr w:type="spellStart"/>
      <w:r>
        <w:t>последњих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13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продужава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минута</w:t>
      </w:r>
      <w:proofErr w:type="spellEnd"/>
      <w:r>
        <w:t xml:space="preserve">, а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понавља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у </w:t>
      </w:r>
      <w:proofErr w:type="spellStart"/>
      <w:r>
        <w:t>последњих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н</w:t>
      </w:r>
      <w:r>
        <w:t>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ниједна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а </w:t>
      </w:r>
      <w:proofErr w:type="spellStart"/>
      <w:r>
        <w:t>најдуже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15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окончати</w:t>
      </w:r>
      <w:proofErr w:type="spellEnd"/>
      <w:r>
        <w:t xml:space="preserve">. </w:t>
      </w:r>
      <w:proofErr w:type="spellStart"/>
      <w:r>
        <w:t>Организација</w:t>
      </w:r>
      <w:proofErr w:type="spellEnd"/>
      <w:r>
        <w:t xml:space="preserve"> и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покретних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 у </w:t>
      </w:r>
      <w:proofErr w:type="spellStart"/>
      <w:r>
        <w:t>извршном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уређени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о </w:t>
      </w:r>
      <w:proofErr w:type="spellStart"/>
      <w:r>
        <w:t>организацији</w:t>
      </w:r>
      <w:proofErr w:type="spellEnd"/>
      <w:r>
        <w:t xml:space="preserve"> и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РС“</w:t>
      </w:r>
      <w:proofErr w:type="gramEnd"/>
      <w:r>
        <w:t xml:space="preserve">, </w:t>
      </w:r>
      <w:proofErr w:type="spellStart"/>
      <w:r>
        <w:t>бр</w:t>
      </w:r>
      <w:proofErr w:type="spellEnd"/>
      <w:r>
        <w:t xml:space="preserve">. 14/2020) а </w:t>
      </w:r>
      <w:proofErr w:type="spellStart"/>
      <w:r>
        <w:t>техничко</w:t>
      </w:r>
      <w:proofErr w:type="spellEnd"/>
      <w:r>
        <w:t xml:space="preserve"> </w:t>
      </w:r>
      <w:proofErr w:type="spellStart"/>
      <w:r>
        <w:t>упутство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>.</w:t>
      </w:r>
    </w:p>
    <w:p w14:paraId="44771CA4" w14:textId="77777777" w:rsidR="00F402D9" w:rsidRDefault="0035533D">
      <w:pPr>
        <w:pStyle w:val="pStyle22"/>
      </w:pPr>
      <w:r>
        <w:t>III</w:t>
      </w:r>
      <w:r>
        <w:tab/>
      </w:r>
      <w:proofErr w:type="spellStart"/>
      <w:r>
        <w:t>Почетна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color w:val="FF0000"/>
        </w:rPr>
        <w:t>првом</w:t>
      </w:r>
      <w:proofErr w:type="spellEnd"/>
      <w:r>
        <w:rPr>
          <w:color w:val="FF0000"/>
        </w:rPr>
        <w:t xml:space="preserve">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r>
        <w:rPr>
          <w:color w:val="FF0000"/>
        </w:rPr>
        <w:t>70</w:t>
      </w:r>
      <w:r>
        <w:t xml:space="preserve">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покретне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у </w:t>
      </w:r>
      <w:proofErr w:type="spellStart"/>
      <w:r>
        <w:t>ставу</w:t>
      </w:r>
      <w:proofErr w:type="spellEnd"/>
      <w:r>
        <w:t xml:space="preserve"> I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,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лицитациони</w:t>
      </w:r>
      <w:proofErr w:type="spellEnd"/>
      <w:r>
        <w:t xml:space="preserve"> </w:t>
      </w:r>
      <w:proofErr w:type="spellStart"/>
      <w:r>
        <w:t>корак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color w:val="FF0000"/>
        </w:rPr>
        <w:t xml:space="preserve">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почетне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>.</w:t>
      </w:r>
    </w:p>
    <w:p w14:paraId="28929899" w14:textId="77777777" w:rsidR="00F402D9" w:rsidRDefault="0035533D">
      <w:pPr>
        <w:pStyle w:val="pStyle22"/>
      </w:pPr>
      <w:r>
        <w:t>IV</w:t>
      </w:r>
      <w:r>
        <w:tab/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понудиоци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регистровани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регистровала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електонског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и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положе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у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15%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>.</w:t>
      </w:r>
    </w:p>
    <w:p w14:paraId="1AF4DC6F" w14:textId="77777777" w:rsidR="00F402D9" w:rsidRDefault="0035533D">
      <w:pPr>
        <w:pStyle w:val="pStyle2"/>
      </w:pP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у </w:t>
      </w:r>
      <w:proofErr w:type="spellStart"/>
      <w:r>
        <w:t>новцу</w:t>
      </w:r>
      <w:proofErr w:type="spellEnd"/>
      <w:r>
        <w:t xml:space="preserve"> </w:t>
      </w:r>
      <w:proofErr w:type="spellStart"/>
      <w:r>
        <w:t>уплатом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, а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уплаћена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преносе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 </w:t>
      </w:r>
      <w:proofErr w:type="spellStart"/>
      <w:r>
        <w:t>Ивана</w:t>
      </w:r>
      <w:proofErr w:type="spellEnd"/>
      <w:r>
        <w:t xml:space="preserve"> </w:t>
      </w:r>
      <w:proofErr w:type="spellStart"/>
      <w:r>
        <w:t>Миловановића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Краљева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>
        <w:rPr>
          <w:u w:val="single"/>
        </w:rPr>
        <w:t>170-50019023010-05</w:t>
      </w:r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UNICREDIT BANK SRBIJA A.D., BEOGRAD (STARI GRAD)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напоменом</w:t>
      </w:r>
      <w:proofErr w:type="spellEnd"/>
      <w:r>
        <w:t xml:space="preserve"> "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у </w:t>
      </w:r>
      <w:proofErr w:type="spellStart"/>
      <w:r>
        <w:t>предмету</w:t>
      </w:r>
      <w:proofErr w:type="spellEnd"/>
      <w:r>
        <w:t xml:space="preserve"> </w:t>
      </w:r>
      <w:proofErr w:type="spellStart"/>
      <w:r>
        <w:t>посл</w:t>
      </w:r>
      <w:proofErr w:type="spellEnd"/>
      <w:r>
        <w:t xml:space="preserve">. </w:t>
      </w:r>
      <w:proofErr w:type="spellStart"/>
      <w:r>
        <w:t>бр</w:t>
      </w:r>
      <w:proofErr w:type="spellEnd"/>
      <w:r>
        <w:t xml:space="preserve">. ИИВ 74/23 ".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регистрације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портал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и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додељује</w:t>
      </w:r>
      <w:proofErr w:type="spellEnd"/>
      <w:r>
        <w:t xml:space="preserve"> </w:t>
      </w:r>
      <w:proofErr w:type="spellStart"/>
      <w:r>
        <w:t>јединствени</w:t>
      </w:r>
      <w:proofErr w:type="spellEnd"/>
      <w:r>
        <w:t xml:space="preserve"> </w:t>
      </w:r>
      <w:proofErr w:type="spellStart"/>
      <w:r>
        <w:t>идентификациони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>.</w:t>
      </w:r>
    </w:p>
    <w:p w14:paraId="3EB9404D" w14:textId="77777777" w:rsidR="00F402D9" w:rsidRDefault="0035533D">
      <w:pPr>
        <w:pStyle w:val="pStyle2"/>
      </w:pP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и </w:t>
      </w:r>
      <w:proofErr w:type="spellStart"/>
      <w:r>
        <w:t>заложни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полажу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потраживања</w:t>
      </w:r>
      <w:proofErr w:type="spellEnd"/>
      <w:r>
        <w:t xml:space="preserve"> </w:t>
      </w:r>
      <w:proofErr w:type="spellStart"/>
      <w:r>
        <w:t>досежу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, с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њихов</w:t>
      </w:r>
      <w:proofErr w:type="spellEnd"/>
      <w:r>
        <w:t xml:space="preserve"> </w:t>
      </w:r>
      <w:proofErr w:type="spellStart"/>
      <w:r>
        <w:t>редослед</w:t>
      </w:r>
      <w:proofErr w:type="spellEnd"/>
      <w:r>
        <w:t xml:space="preserve"> </w:t>
      </w:r>
      <w:proofErr w:type="spellStart"/>
      <w:r>
        <w:t>намирења</w:t>
      </w:r>
      <w:proofErr w:type="spellEnd"/>
      <w:r>
        <w:t xml:space="preserve"> и </w:t>
      </w:r>
      <w:proofErr w:type="spellStart"/>
      <w:r>
        <w:t>процењену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,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.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извршитељ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идентификационе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Закону</w:t>
      </w:r>
      <w:proofErr w:type="spellEnd"/>
      <w:r>
        <w:t xml:space="preserve"> </w:t>
      </w:r>
      <w:proofErr w:type="spellStart"/>
      <w:r>
        <w:t>ослобођени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>.</w:t>
      </w:r>
    </w:p>
    <w:p w14:paraId="63E4A9BB" w14:textId="77777777" w:rsidR="00F402D9" w:rsidRDefault="0035533D">
      <w:pPr>
        <w:pStyle w:val="pStyle22"/>
      </w:pPr>
      <w:r>
        <w:t>V</w:t>
      </w:r>
      <w:r>
        <w:tab/>
      </w:r>
      <w:proofErr w:type="spellStart"/>
      <w:r>
        <w:t>Упозоравају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покретне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непосредном</w:t>
      </w:r>
      <w:proofErr w:type="spellEnd"/>
      <w:r>
        <w:t xml:space="preserve"> </w:t>
      </w:r>
      <w:proofErr w:type="spellStart"/>
      <w:r>
        <w:t>погодбом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.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покретне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извршитељ</w:t>
      </w:r>
      <w:proofErr w:type="spellEnd"/>
      <w:r>
        <w:t xml:space="preserve">, </w:t>
      </w:r>
      <w:proofErr w:type="spellStart"/>
      <w:r>
        <w:t>заменик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, </w:t>
      </w:r>
      <w:proofErr w:type="spellStart"/>
      <w:r>
        <w:t>помоћник</w:t>
      </w:r>
      <w:proofErr w:type="spellEnd"/>
      <w:r>
        <w:t xml:space="preserve"> </w:t>
      </w:r>
      <w:proofErr w:type="spellStart"/>
      <w:r>
        <w:lastRenderedPageBreak/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запослено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, </w:t>
      </w:r>
      <w:proofErr w:type="spellStart"/>
      <w:r>
        <w:t>независно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поступа</w:t>
      </w:r>
      <w:proofErr w:type="spellEnd"/>
      <w:r>
        <w:t xml:space="preserve"> у </w:t>
      </w:r>
      <w:proofErr w:type="spellStart"/>
      <w:r>
        <w:t>конкретном</w:t>
      </w:r>
      <w:proofErr w:type="spellEnd"/>
      <w:r>
        <w:t xml:space="preserve"> </w:t>
      </w:r>
      <w:proofErr w:type="spellStart"/>
      <w:r>
        <w:t>извршном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њихов</w:t>
      </w:r>
      <w:proofErr w:type="spellEnd"/>
      <w:r>
        <w:t xml:space="preserve"> </w:t>
      </w:r>
      <w:proofErr w:type="spellStart"/>
      <w:r>
        <w:t>крвни</w:t>
      </w:r>
      <w:proofErr w:type="spellEnd"/>
      <w:r>
        <w:t xml:space="preserve"> </w:t>
      </w:r>
      <w:proofErr w:type="spellStart"/>
      <w:r>
        <w:t>сродник</w:t>
      </w:r>
      <w:proofErr w:type="spellEnd"/>
      <w:r>
        <w:t xml:space="preserve"> у </w:t>
      </w:r>
      <w:proofErr w:type="spellStart"/>
      <w:r>
        <w:t>правој</w:t>
      </w:r>
      <w:proofErr w:type="spellEnd"/>
      <w:r>
        <w:t xml:space="preserve"> </w:t>
      </w:r>
      <w:proofErr w:type="spellStart"/>
      <w:r>
        <w:t>линији</w:t>
      </w:r>
      <w:proofErr w:type="spellEnd"/>
      <w:r>
        <w:t xml:space="preserve">, а у </w:t>
      </w:r>
      <w:proofErr w:type="spellStart"/>
      <w:r>
        <w:t>побочној</w:t>
      </w:r>
      <w:proofErr w:type="spellEnd"/>
      <w:r>
        <w:t xml:space="preserve"> </w:t>
      </w:r>
      <w:proofErr w:type="spellStart"/>
      <w:r>
        <w:t>линији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четвртог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 </w:t>
      </w:r>
      <w:proofErr w:type="spellStart"/>
      <w:r>
        <w:t>сродства</w:t>
      </w:r>
      <w:proofErr w:type="spellEnd"/>
      <w:r>
        <w:t xml:space="preserve">, </w:t>
      </w:r>
      <w:proofErr w:type="spellStart"/>
      <w:r>
        <w:t>супружник</w:t>
      </w:r>
      <w:proofErr w:type="spellEnd"/>
      <w:r>
        <w:t xml:space="preserve">, </w:t>
      </w:r>
      <w:proofErr w:type="spellStart"/>
      <w:r>
        <w:t>ванбрачни</w:t>
      </w:r>
      <w:proofErr w:type="spellEnd"/>
      <w:r>
        <w:t xml:space="preserve"> </w:t>
      </w:r>
      <w:proofErr w:type="spellStart"/>
      <w:r>
        <w:t>партнер</w:t>
      </w:r>
      <w:proofErr w:type="spellEnd"/>
      <w:r>
        <w:t xml:space="preserve">, </w:t>
      </w:r>
      <w:proofErr w:type="spellStart"/>
      <w:r>
        <w:t>тазбинск</w:t>
      </w:r>
      <w:r>
        <w:t>и</w:t>
      </w:r>
      <w:proofErr w:type="spellEnd"/>
      <w:r>
        <w:t xml:space="preserve"> </w:t>
      </w:r>
      <w:proofErr w:type="spellStart"/>
      <w:r>
        <w:t>сродник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, </w:t>
      </w:r>
      <w:proofErr w:type="spellStart"/>
      <w:r>
        <w:t>старатељ</w:t>
      </w:r>
      <w:proofErr w:type="spellEnd"/>
      <w:r>
        <w:t xml:space="preserve">, </w:t>
      </w:r>
      <w:proofErr w:type="spellStart"/>
      <w:r>
        <w:t>штићеник</w:t>
      </w:r>
      <w:proofErr w:type="spellEnd"/>
      <w:r>
        <w:t xml:space="preserve">, </w:t>
      </w:r>
      <w:proofErr w:type="spellStart"/>
      <w:r>
        <w:t>усвојитељ</w:t>
      </w:r>
      <w:proofErr w:type="spellEnd"/>
      <w:r>
        <w:t xml:space="preserve">, </w:t>
      </w:r>
      <w:proofErr w:type="spellStart"/>
      <w:r>
        <w:t>усвојеник</w:t>
      </w:r>
      <w:proofErr w:type="spellEnd"/>
      <w:r>
        <w:t xml:space="preserve">, </w:t>
      </w:r>
      <w:proofErr w:type="spellStart"/>
      <w:r>
        <w:t>хранитељ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храњеник</w:t>
      </w:r>
      <w:proofErr w:type="spellEnd"/>
      <w:r>
        <w:t xml:space="preserve">. 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покретне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службено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конкретном</w:t>
      </w:r>
      <w:proofErr w:type="spellEnd"/>
      <w:r>
        <w:t xml:space="preserve"> </w:t>
      </w:r>
      <w:proofErr w:type="spellStart"/>
      <w:r>
        <w:t>извршном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.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покретне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запослено</w:t>
      </w:r>
      <w:proofErr w:type="spellEnd"/>
      <w:r>
        <w:t xml:space="preserve"> у </w:t>
      </w:r>
      <w:proofErr w:type="spellStart"/>
      <w:r>
        <w:t>министарству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администратор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крвни</w:t>
      </w:r>
      <w:proofErr w:type="spellEnd"/>
      <w:r>
        <w:t xml:space="preserve"> </w:t>
      </w:r>
      <w:proofErr w:type="spellStart"/>
      <w:r>
        <w:t>сродник</w:t>
      </w:r>
      <w:proofErr w:type="spellEnd"/>
      <w:r>
        <w:t xml:space="preserve"> у </w:t>
      </w:r>
      <w:proofErr w:type="spellStart"/>
      <w:r>
        <w:t>правој</w:t>
      </w:r>
      <w:proofErr w:type="spellEnd"/>
      <w:r>
        <w:t xml:space="preserve"> </w:t>
      </w:r>
      <w:proofErr w:type="spellStart"/>
      <w:r>
        <w:t>линији</w:t>
      </w:r>
      <w:proofErr w:type="spellEnd"/>
      <w:r>
        <w:t xml:space="preserve">, а у </w:t>
      </w:r>
      <w:proofErr w:type="spellStart"/>
      <w:r>
        <w:t>побочној</w:t>
      </w:r>
      <w:proofErr w:type="spellEnd"/>
      <w:r>
        <w:t xml:space="preserve"> </w:t>
      </w:r>
      <w:proofErr w:type="spellStart"/>
      <w:r>
        <w:t>линији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четвртог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 </w:t>
      </w:r>
      <w:proofErr w:type="spellStart"/>
      <w:r>
        <w:t>сродства</w:t>
      </w:r>
      <w:proofErr w:type="spellEnd"/>
      <w:r>
        <w:t xml:space="preserve">, </w:t>
      </w:r>
      <w:proofErr w:type="spellStart"/>
      <w:r>
        <w:t>супружник</w:t>
      </w:r>
      <w:proofErr w:type="spellEnd"/>
      <w:r>
        <w:t xml:space="preserve">, </w:t>
      </w:r>
      <w:proofErr w:type="spellStart"/>
      <w:r>
        <w:t>ванбрачни</w:t>
      </w:r>
      <w:proofErr w:type="spellEnd"/>
      <w:r>
        <w:t xml:space="preserve"> </w:t>
      </w:r>
      <w:proofErr w:type="spellStart"/>
      <w:r>
        <w:t>партнер</w:t>
      </w:r>
      <w:proofErr w:type="spellEnd"/>
      <w:r>
        <w:t xml:space="preserve">, </w:t>
      </w:r>
      <w:proofErr w:type="spellStart"/>
      <w:r>
        <w:t>тазбински</w:t>
      </w:r>
      <w:proofErr w:type="spellEnd"/>
      <w:r>
        <w:t xml:space="preserve"> </w:t>
      </w:r>
      <w:proofErr w:type="spellStart"/>
      <w:r>
        <w:t>сродник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, </w:t>
      </w:r>
      <w:proofErr w:type="spellStart"/>
      <w:r>
        <w:t>старатељ</w:t>
      </w:r>
      <w:proofErr w:type="spellEnd"/>
      <w:r>
        <w:t>,</w:t>
      </w:r>
      <w:r>
        <w:t xml:space="preserve"> </w:t>
      </w:r>
      <w:proofErr w:type="spellStart"/>
      <w:r>
        <w:t>штићеник</w:t>
      </w:r>
      <w:proofErr w:type="spellEnd"/>
      <w:r>
        <w:t xml:space="preserve">, </w:t>
      </w:r>
      <w:proofErr w:type="spellStart"/>
      <w:r>
        <w:t>усвојитељ</w:t>
      </w:r>
      <w:proofErr w:type="spellEnd"/>
      <w:r>
        <w:t xml:space="preserve">, </w:t>
      </w:r>
      <w:proofErr w:type="spellStart"/>
      <w:r>
        <w:t>усвојеник</w:t>
      </w:r>
      <w:proofErr w:type="spellEnd"/>
      <w:r>
        <w:t xml:space="preserve">, </w:t>
      </w:r>
      <w:proofErr w:type="spellStart"/>
      <w:r>
        <w:t>хранитељ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храњеник</w:t>
      </w:r>
      <w:proofErr w:type="spellEnd"/>
      <w:r>
        <w:t>.</w:t>
      </w:r>
    </w:p>
    <w:p w14:paraId="56504A04" w14:textId="77777777" w:rsidR="00F402D9" w:rsidRDefault="0035533D">
      <w:pPr>
        <w:pStyle w:val="pStyle22"/>
      </w:pPr>
      <w:r>
        <w:t>VI</w:t>
      </w:r>
      <w:r>
        <w:tab/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извршитељ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заинтересованим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обрате</w:t>
      </w:r>
      <w:proofErr w:type="spellEnd"/>
      <w:r>
        <w:t xml:space="preserve">,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покретним</w:t>
      </w:r>
      <w:proofErr w:type="spellEnd"/>
      <w:r>
        <w:t xml:space="preserve"> </w:t>
      </w:r>
      <w:proofErr w:type="spellStart"/>
      <w:r>
        <w:t>стварима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,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</w:t>
      </w:r>
      <w:proofErr w:type="spellStart"/>
      <w:r>
        <w:t>времену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08:00 – 16:00 </w:t>
      </w:r>
      <w:proofErr w:type="spellStart"/>
      <w:r>
        <w:t>часова</w:t>
      </w:r>
      <w:proofErr w:type="spellEnd"/>
      <w:r>
        <w:t xml:space="preserve">,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канцеларије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036/312-515 и 063/633-428. </w:t>
      </w:r>
      <w:proofErr w:type="spellStart"/>
      <w:r>
        <w:t>Предметнe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,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извршеног</w:t>
      </w:r>
      <w:proofErr w:type="spellEnd"/>
      <w:r>
        <w:t xml:space="preserve"> </w:t>
      </w:r>
      <w:proofErr w:type="spellStart"/>
      <w:r>
        <w:t>пописа</w:t>
      </w:r>
      <w:proofErr w:type="spellEnd"/>
      <w:r>
        <w:t xml:space="preserve">, </w:t>
      </w:r>
      <w:proofErr w:type="spellStart"/>
      <w:r>
        <w:t>остављене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чување</w:t>
      </w:r>
      <w:proofErr w:type="spellEnd"/>
      <w:r>
        <w:t xml:space="preserve"> </w:t>
      </w:r>
      <w:proofErr w:type="spellStart"/>
      <w:r>
        <w:rPr>
          <w:color w:val="FF0000"/>
        </w:rPr>
        <w:t>извршном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дужнику</w:t>
      </w:r>
      <w:proofErr w:type="spellEnd"/>
      <w:r>
        <w:rPr>
          <w:color w:val="FF0000"/>
        </w:rP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евентуалним</w:t>
      </w:r>
      <w:proofErr w:type="spellEnd"/>
      <w:r>
        <w:t xml:space="preserve"> </w:t>
      </w:r>
      <w:proofErr w:type="spellStart"/>
      <w:r>
        <w:t>купцима</w:t>
      </w:r>
      <w:proofErr w:type="spellEnd"/>
      <w:r>
        <w:t xml:space="preserve"> </w:t>
      </w:r>
      <w:proofErr w:type="spellStart"/>
      <w:r>
        <w:t>омогући</w:t>
      </w:r>
      <w:proofErr w:type="spellEnd"/>
      <w:r>
        <w:t xml:space="preserve"> </w:t>
      </w:r>
      <w:proofErr w:type="spellStart"/>
      <w:r>
        <w:t>несметано</w:t>
      </w:r>
      <w:proofErr w:type="spellEnd"/>
      <w:r>
        <w:t xml:space="preserve"> </w:t>
      </w:r>
      <w:proofErr w:type="spellStart"/>
      <w:r>
        <w:t>разгледање</w:t>
      </w:r>
      <w:proofErr w:type="spellEnd"/>
      <w:r>
        <w:t xml:space="preserve"> </w:t>
      </w:r>
      <w:proofErr w:type="spellStart"/>
      <w:r>
        <w:t>истих</w:t>
      </w:r>
      <w:proofErr w:type="spellEnd"/>
      <w:r>
        <w:t>.</w:t>
      </w:r>
    </w:p>
    <w:p w14:paraId="6134688C" w14:textId="77777777" w:rsidR="00F402D9" w:rsidRDefault="0035533D">
      <w:pPr>
        <w:pStyle w:val="pStyle22"/>
      </w:pPr>
      <w:r>
        <w:t>VII</w:t>
      </w:r>
      <w:r>
        <w:tab/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додељена</w:t>
      </w:r>
      <w:proofErr w:type="spellEnd"/>
      <w:r>
        <w:t xml:space="preserve"> </w:t>
      </w:r>
      <w:proofErr w:type="spellStart"/>
      <w:r>
        <w:t>покретна</w:t>
      </w:r>
      <w:proofErr w:type="spellEnd"/>
      <w:r>
        <w:t xml:space="preserve"> </w:t>
      </w:r>
      <w:proofErr w:type="spellStart"/>
      <w:r>
        <w:t>ствар</w:t>
      </w:r>
      <w:proofErr w:type="spellEnd"/>
      <w:r>
        <w:t xml:space="preserve"> (</w:t>
      </w:r>
      <w:proofErr w:type="spellStart"/>
      <w:r>
        <w:t>купац</w:t>
      </w:r>
      <w:proofErr w:type="spellEnd"/>
      <w:r>
        <w:t xml:space="preserve">)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</w:t>
      </w:r>
      <w:proofErr w:type="spellStart"/>
      <w:r>
        <w:t>умањену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положеног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о </w:t>
      </w:r>
      <w:proofErr w:type="spellStart"/>
      <w:r>
        <w:t>додељивању</w:t>
      </w:r>
      <w:proofErr w:type="spellEnd"/>
      <w:r>
        <w:t xml:space="preserve"> </w:t>
      </w:r>
      <w:proofErr w:type="spellStart"/>
      <w:r>
        <w:t>покретне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 </w:t>
      </w:r>
      <w:proofErr w:type="spellStart"/>
      <w:r>
        <w:t>Ивана</w:t>
      </w:r>
      <w:proofErr w:type="spellEnd"/>
      <w:r>
        <w:t xml:space="preserve"> </w:t>
      </w:r>
      <w:proofErr w:type="spellStart"/>
      <w:r>
        <w:t>Миловановића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Краљева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</w:t>
      </w:r>
      <w:r>
        <w:rPr>
          <w:u w:val="single"/>
        </w:rPr>
        <w:t>170-50019023010-05</w:t>
      </w:r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UNICREDIT BANK SRBIJA A.D., BEOGRAD (STARI GRAD),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ИИВ 74/23,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напоменом</w:t>
      </w:r>
      <w:proofErr w:type="spellEnd"/>
      <w:r>
        <w:t xml:space="preserve"> „</w:t>
      </w:r>
      <w:proofErr w:type="spellStart"/>
      <w:r>
        <w:t>уплата</w:t>
      </w:r>
      <w:proofErr w:type="spellEnd"/>
      <w:r>
        <w:t xml:space="preserve"> </w:t>
      </w:r>
      <w:proofErr w:type="spellStart"/>
      <w:r>
        <w:t>остатка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у </w:t>
      </w:r>
      <w:proofErr w:type="spellStart"/>
      <w:r>
        <w:t>предмету</w:t>
      </w:r>
      <w:proofErr w:type="spellEnd"/>
      <w:r>
        <w:t xml:space="preserve"> ИИВ 74/23“.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с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</w:t>
      </w:r>
      <w:r>
        <w:t>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закључком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оглашава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продаја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дејства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њему</w:t>
      </w:r>
      <w:proofErr w:type="spellEnd"/>
      <w:r>
        <w:t xml:space="preserve"> и </w:t>
      </w:r>
      <w:proofErr w:type="spellStart"/>
      <w:r>
        <w:t>ствар</w:t>
      </w:r>
      <w:proofErr w:type="spellEnd"/>
      <w:r>
        <w:t xml:space="preserve"> </w:t>
      </w:r>
      <w:proofErr w:type="spellStart"/>
      <w:r>
        <w:t>додељује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понуђене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и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редом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исцрпе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понудиоци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списка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о </w:t>
      </w:r>
      <w:proofErr w:type="spellStart"/>
      <w:r>
        <w:t>додељивању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ниједан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извршитељ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електронско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успело</w:t>
      </w:r>
      <w:proofErr w:type="spellEnd"/>
      <w:r>
        <w:t xml:space="preserve">.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преузима</w:t>
      </w:r>
      <w:proofErr w:type="spellEnd"/>
      <w:r>
        <w:t xml:space="preserve"> </w:t>
      </w:r>
      <w:proofErr w:type="spellStart"/>
      <w:r>
        <w:t>покретну</w:t>
      </w:r>
      <w:proofErr w:type="spellEnd"/>
      <w:r>
        <w:t xml:space="preserve"> </w:t>
      </w:r>
      <w:proofErr w:type="spellStart"/>
      <w:r>
        <w:t>ствар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исплати</w:t>
      </w:r>
      <w:proofErr w:type="spellEnd"/>
      <w:r>
        <w:t xml:space="preserve"> </w:t>
      </w:r>
      <w:proofErr w:type="spellStart"/>
      <w:r>
        <w:t>купопродајне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>.</w:t>
      </w:r>
    </w:p>
    <w:p w14:paraId="329BAEAF" w14:textId="77777777" w:rsidR="00F402D9" w:rsidRDefault="0035533D">
      <w:pPr>
        <w:pStyle w:val="pStyle2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</w:t>
      </w:r>
      <w:proofErr w:type="spellStart"/>
      <w:r>
        <w:t>чије</w:t>
      </w:r>
      <w:proofErr w:type="spellEnd"/>
      <w:r>
        <w:t xml:space="preserve"> </w:t>
      </w:r>
      <w:proofErr w:type="spellStart"/>
      <w:r>
        <w:t>потраживање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досеже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с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,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намирити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ње</w:t>
      </w:r>
      <w:proofErr w:type="spellEnd"/>
      <w:r>
        <w:t xml:space="preserve">,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плаћа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разлику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потраживања</w:t>
      </w:r>
      <w:proofErr w:type="spellEnd"/>
      <w:r>
        <w:t xml:space="preserve"> и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>.</w:t>
      </w:r>
    </w:p>
    <w:p w14:paraId="198931AA" w14:textId="77777777" w:rsidR="00F402D9" w:rsidRDefault="0035533D">
      <w:pPr>
        <w:pStyle w:val="pStyle22"/>
      </w:pPr>
      <w:r>
        <w:t>VIII</w:t>
      </w:r>
      <w:r>
        <w:tab/>
      </w:r>
      <w:proofErr w:type="spellStart"/>
      <w:r>
        <w:t>Ако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учествовало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, </w:t>
      </w:r>
      <w:proofErr w:type="spellStart"/>
      <w:r>
        <w:t>понудиоцима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прихваћена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</w:t>
      </w:r>
      <w:proofErr w:type="spellStart"/>
      <w:r>
        <w:t>Другом</w:t>
      </w:r>
      <w:proofErr w:type="spellEnd"/>
      <w:r>
        <w:t xml:space="preserve"> и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а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и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платио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понудио</w:t>
      </w:r>
      <w:proofErr w:type="spellEnd"/>
      <w:r>
        <w:t xml:space="preserve"> и </w:t>
      </w:r>
      <w:proofErr w:type="spellStart"/>
      <w:r>
        <w:t>плаћене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,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преоста</w:t>
      </w:r>
      <w:r>
        <w:t>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,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lastRenderedPageBreak/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постигнутој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и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и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,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преостане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,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</w:t>
      </w:r>
      <w:proofErr w:type="spellStart"/>
      <w:r>
        <w:t>Јемство</w:t>
      </w:r>
      <w:proofErr w:type="spellEnd"/>
      <w:r>
        <w:t xml:space="preserve"> у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почетну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одустане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У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поступиће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прописан</w:t>
      </w:r>
      <w:proofErr w:type="spellEnd"/>
      <w:r>
        <w:t xml:space="preserve"> у </w:t>
      </w:r>
      <w:proofErr w:type="spellStart"/>
      <w:r>
        <w:t>чл</w:t>
      </w:r>
      <w:proofErr w:type="spellEnd"/>
      <w:r>
        <w:t xml:space="preserve">. 182. </w:t>
      </w:r>
      <w:proofErr w:type="spellStart"/>
      <w:r>
        <w:t>ст</w:t>
      </w:r>
      <w:proofErr w:type="spellEnd"/>
      <w:r>
        <w:t xml:space="preserve">. 2. и 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и </w:t>
      </w:r>
      <w:proofErr w:type="spellStart"/>
      <w:r>
        <w:t>обезбеђењу</w:t>
      </w:r>
      <w:proofErr w:type="spellEnd"/>
      <w:r>
        <w:t xml:space="preserve"> ("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</w:t>
      </w:r>
      <w:proofErr w:type="spellEnd"/>
      <w:r>
        <w:t xml:space="preserve">. 106/2015, 106/2016 - </w:t>
      </w:r>
      <w:proofErr w:type="spellStart"/>
      <w:r>
        <w:t>аутентично</w:t>
      </w:r>
      <w:proofErr w:type="spellEnd"/>
      <w:r>
        <w:t xml:space="preserve"> </w:t>
      </w:r>
      <w:proofErr w:type="spellStart"/>
      <w:r>
        <w:t>тумачење</w:t>
      </w:r>
      <w:proofErr w:type="spellEnd"/>
      <w:r>
        <w:t xml:space="preserve">, 113/2017 - </w:t>
      </w:r>
      <w:proofErr w:type="spellStart"/>
      <w:r>
        <w:t>аутентично</w:t>
      </w:r>
      <w:proofErr w:type="spellEnd"/>
      <w:r>
        <w:t xml:space="preserve"> </w:t>
      </w:r>
      <w:proofErr w:type="spellStart"/>
      <w:r>
        <w:t>тумачење</w:t>
      </w:r>
      <w:proofErr w:type="spellEnd"/>
      <w:r>
        <w:t xml:space="preserve">, 54/2019, 9/2020 - </w:t>
      </w:r>
      <w:proofErr w:type="spellStart"/>
      <w:r>
        <w:t>аутентично</w:t>
      </w:r>
      <w:proofErr w:type="spellEnd"/>
      <w:r>
        <w:t xml:space="preserve"> </w:t>
      </w:r>
      <w:proofErr w:type="spellStart"/>
      <w:r>
        <w:t>тумачење</w:t>
      </w:r>
      <w:proofErr w:type="spellEnd"/>
      <w:r>
        <w:t xml:space="preserve"> и 10/2023 -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)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Закон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и </w:t>
      </w:r>
      <w:proofErr w:type="spellStart"/>
      <w:r>
        <w:t>обезбеђењу</w:t>
      </w:r>
      <w:proofErr w:type="spellEnd"/>
      <w:r>
        <w:t>).</w:t>
      </w:r>
    </w:p>
    <w:p w14:paraId="3F43022D" w14:textId="77777777" w:rsidR="00F402D9" w:rsidRDefault="0035533D">
      <w:pPr>
        <w:pStyle w:val="pStyle22"/>
      </w:pPr>
      <w:r>
        <w:t>IX</w:t>
      </w:r>
      <w:r>
        <w:tab/>
      </w:r>
      <w:proofErr w:type="spellStart"/>
      <w:r>
        <w:t>Покретна</w:t>
      </w:r>
      <w:proofErr w:type="spellEnd"/>
      <w:r>
        <w:t xml:space="preserve"> </w:t>
      </w:r>
      <w:proofErr w:type="spellStart"/>
      <w:r>
        <w:t>ствар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прода</w:t>
      </w:r>
      <w:proofErr w:type="spellEnd"/>
      <w:r>
        <w:t xml:space="preserve"> </w:t>
      </w:r>
      <w:proofErr w:type="spellStart"/>
      <w:r>
        <w:t>непосредном</w:t>
      </w:r>
      <w:proofErr w:type="spellEnd"/>
      <w:r>
        <w:t xml:space="preserve"> </w:t>
      </w:r>
      <w:proofErr w:type="spellStart"/>
      <w:r>
        <w:t>погодбом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споразуму</w:t>
      </w:r>
      <w:proofErr w:type="spellEnd"/>
      <w:r>
        <w:t xml:space="preserve"> </w:t>
      </w:r>
      <w:proofErr w:type="spellStart"/>
      <w:r>
        <w:t>странака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могућ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о </w:t>
      </w:r>
      <w:proofErr w:type="spellStart"/>
      <w:r>
        <w:t>додељивању</w:t>
      </w:r>
      <w:proofErr w:type="spellEnd"/>
      <w:r>
        <w:t xml:space="preserve"> </w:t>
      </w:r>
      <w:proofErr w:type="spellStart"/>
      <w:r>
        <w:t>покретне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успело</w:t>
      </w:r>
      <w:proofErr w:type="spellEnd"/>
      <w:r>
        <w:t xml:space="preserve">. </w:t>
      </w:r>
      <w:proofErr w:type="spellStart"/>
      <w:r>
        <w:t>Споразум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,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покретна</w:t>
      </w:r>
      <w:proofErr w:type="spellEnd"/>
      <w:r>
        <w:t xml:space="preserve"> </w:t>
      </w:r>
      <w:proofErr w:type="spellStart"/>
      <w:r>
        <w:t>ствар</w:t>
      </w:r>
      <w:proofErr w:type="spellEnd"/>
      <w:r>
        <w:t xml:space="preserve"> </w:t>
      </w:r>
      <w:proofErr w:type="spellStart"/>
      <w:r>
        <w:t>прода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–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успело</w:t>
      </w:r>
      <w:proofErr w:type="spellEnd"/>
      <w:r>
        <w:t xml:space="preserve"> </w:t>
      </w:r>
      <w:proofErr w:type="spellStart"/>
      <w:r>
        <w:t>иако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ствар</w:t>
      </w:r>
      <w:proofErr w:type="spellEnd"/>
      <w:r>
        <w:t xml:space="preserve"> </w:t>
      </w:r>
      <w:proofErr w:type="spellStart"/>
      <w:r>
        <w:t>продата</w:t>
      </w:r>
      <w:proofErr w:type="spellEnd"/>
      <w:r>
        <w:t xml:space="preserve"> (</w:t>
      </w:r>
      <w:proofErr w:type="spellStart"/>
      <w:r>
        <w:t>члан</w:t>
      </w:r>
      <w:proofErr w:type="spellEnd"/>
      <w:r>
        <w:t xml:space="preserve"> 183. </w:t>
      </w:r>
      <w:proofErr w:type="spellStart"/>
      <w:r>
        <w:t>став</w:t>
      </w:r>
      <w:proofErr w:type="spellEnd"/>
      <w:r>
        <w:t xml:space="preserve"> 2.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и </w:t>
      </w:r>
      <w:proofErr w:type="spellStart"/>
      <w:r>
        <w:t>обезбеђењу</w:t>
      </w:r>
      <w:proofErr w:type="spellEnd"/>
      <w:r>
        <w:t xml:space="preserve">).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, </w:t>
      </w:r>
      <w:proofErr w:type="spellStart"/>
      <w:r>
        <w:t>споразум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опет</w:t>
      </w:r>
      <w:proofErr w:type="spellEnd"/>
      <w:r>
        <w:t xml:space="preserve"> </w:t>
      </w:r>
      <w:proofErr w:type="spellStart"/>
      <w:r>
        <w:t>дозвољен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почне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. </w:t>
      </w:r>
      <w:proofErr w:type="spellStart"/>
      <w:r>
        <w:t>Споразумом</w:t>
      </w:r>
      <w:proofErr w:type="spellEnd"/>
      <w:r>
        <w:t xml:space="preserve"> </w:t>
      </w:r>
      <w:proofErr w:type="spellStart"/>
      <w:r>
        <w:t>странака</w:t>
      </w:r>
      <w:proofErr w:type="spellEnd"/>
      <w:r>
        <w:t xml:space="preserve"> </w:t>
      </w:r>
      <w:proofErr w:type="spellStart"/>
      <w:r>
        <w:t>одређују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покретне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,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закључење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продаји</w:t>
      </w:r>
      <w:proofErr w:type="spellEnd"/>
      <w:r>
        <w:t xml:space="preserve"> </w:t>
      </w:r>
      <w:proofErr w:type="spellStart"/>
      <w:r>
        <w:t>непосредном</w:t>
      </w:r>
      <w:proofErr w:type="spellEnd"/>
      <w:r>
        <w:t xml:space="preserve"> </w:t>
      </w:r>
      <w:proofErr w:type="spellStart"/>
      <w:r>
        <w:t>погодбом</w:t>
      </w:r>
      <w:proofErr w:type="spellEnd"/>
      <w:r>
        <w:t xml:space="preserve"> и </w:t>
      </w:r>
      <w:proofErr w:type="spellStart"/>
      <w:r>
        <w:t>продајна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, а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одреде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. </w:t>
      </w:r>
      <w:proofErr w:type="spellStart"/>
      <w:r>
        <w:t>Заложни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</w:t>
      </w:r>
      <w:proofErr w:type="spellStart"/>
      <w:r>
        <w:t>чије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уписано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најстаријег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пристанак</w:t>
      </w:r>
      <w:proofErr w:type="spellEnd"/>
      <w:r>
        <w:t xml:space="preserve"> у </w:t>
      </w:r>
      <w:proofErr w:type="spellStart"/>
      <w:r>
        <w:t>писаној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заложни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186. </w:t>
      </w:r>
      <w:proofErr w:type="spellStart"/>
      <w:r>
        <w:t>став</w:t>
      </w:r>
      <w:proofErr w:type="spellEnd"/>
      <w:r>
        <w:t xml:space="preserve"> 4.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и </w:t>
      </w:r>
      <w:proofErr w:type="spellStart"/>
      <w:r>
        <w:t>обезбеђењу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изјасни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оса</w:t>
      </w:r>
      <w:r>
        <w:t>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,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дао</w:t>
      </w:r>
      <w:proofErr w:type="spellEnd"/>
      <w:r>
        <w:t xml:space="preserve"> </w:t>
      </w:r>
      <w:proofErr w:type="spellStart"/>
      <w:r>
        <w:t>пристанак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споразум</w:t>
      </w:r>
      <w:proofErr w:type="spellEnd"/>
      <w:r>
        <w:t xml:space="preserve">,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извршитељ</w:t>
      </w:r>
      <w:proofErr w:type="spellEnd"/>
      <w:r>
        <w:t xml:space="preserve"> </w:t>
      </w:r>
      <w:proofErr w:type="spellStart"/>
      <w:r>
        <w:t>поучити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.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 </w:t>
      </w:r>
      <w:proofErr w:type="spellStart"/>
      <w:r>
        <w:t>странака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закључак</w:t>
      </w:r>
      <w:proofErr w:type="spellEnd"/>
      <w:r>
        <w:t xml:space="preserve"> о </w:t>
      </w:r>
      <w:proofErr w:type="spellStart"/>
      <w:r>
        <w:t>продаји</w:t>
      </w:r>
      <w:proofErr w:type="spellEnd"/>
      <w:r>
        <w:t xml:space="preserve"> </w:t>
      </w:r>
      <w:proofErr w:type="spellStart"/>
      <w:r>
        <w:t>покретне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 </w:t>
      </w:r>
      <w:proofErr w:type="spellStart"/>
      <w:r>
        <w:t>непосредном</w:t>
      </w:r>
      <w:proofErr w:type="spellEnd"/>
      <w:r>
        <w:t xml:space="preserve"> </w:t>
      </w:r>
      <w:proofErr w:type="spellStart"/>
      <w:r>
        <w:t>погодбом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споразуму</w:t>
      </w:r>
      <w:proofErr w:type="spellEnd"/>
      <w:r>
        <w:t xml:space="preserve"> </w:t>
      </w:r>
      <w:proofErr w:type="spellStart"/>
      <w:r>
        <w:t>странака</w:t>
      </w:r>
      <w:proofErr w:type="spellEnd"/>
      <w:r>
        <w:t xml:space="preserve">,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одређују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,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закључење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цена</w:t>
      </w:r>
      <w:proofErr w:type="spellEnd"/>
      <w:r>
        <w:t xml:space="preserve"> и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.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продаји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закључи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о </w:t>
      </w:r>
      <w:proofErr w:type="spellStart"/>
      <w:r>
        <w:t>продаји</w:t>
      </w:r>
      <w:proofErr w:type="spellEnd"/>
      <w:r>
        <w:t xml:space="preserve"> </w:t>
      </w:r>
      <w:proofErr w:type="spellStart"/>
      <w:r>
        <w:t>покретне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 </w:t>
      </w:r>
      <w:proofErr w:type="spellStart"/>
      <w:r>
        <w:t>непосредном</w:t>
      </w:r>
      <w:proofErr w:type="spellEnd"/>
      <w:r>
        <w:t xml:space="preserve"> </w:t>
      </w:r>
      <w:proofErr w:type="spellStart"/>
      <w:r>
        <w:t>погодбом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споразуму</w:t>
      </w:r>
      <w:proofErr w:type="spellEnd"/>
      <w:r>
        <w:t xml:space="preserve"> </w:t>
      </w:r>
      <w:proofErr w:type="spellStart"/>
      <w:r>
        <w:t>странака</w:t>
      </w:r>
      <w:proofErr w:type="spellEnd"/>
      <w:r>
        <w:t xml:space="preserve">, а </w:t>
      </w:r>
      <w:proofErr w:type="spellStart"/>
      <w:r>
        <w:t>р</w:t>
      </w:r>
      <w:r>
        <w:t>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дужи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о </w:t>
      </w:r>
      <w:proofErr w:type="spellStart"/>
      <w:r>
        <w:t>додељивању</w:t>
      </w:r>
      <w:proofErr w:type="spellEnd"/>
      <w:r>
        <w:t xml:space="preserve"> </w:t>
      </w:r>
      <w:proofErr w:type="spellStart"/>
      <w:r>
        <w:t>покретне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закључи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одређеном</w:t>
      </w:r>
      <w:proofErr w:type="spellEnd"/>
      <w:r>
        <w:t xml:space="preserve"> </w:t>
      </w:r>
      <w:proofErr w:type="spellStart"/>
      <w:r>
        <w:t>закључком</w:t>
      </w:r>
      <w:proofErr w:type="spellEnd"/>
      <w:r>
        <w:t xml:space="preserve"> о </w:t>
      </w:r>
      <w:proofErr w:type="spellStart"/>
      <w:r>
        <w:t>продаји</w:t>
      </w:r>
      <w:proofErr w:type="spellEnd"/>
      <w:r>
        <w:t xml:space="preserve"> </w:t>
      </w:r>
      <w:proofErr w:type="spellStart"/>
      <w:r>
        <w:t>покретне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 </w:t>
      </w:r>
      <w:proofErr w:type="spellStart"/>
      <w:r>
        <w:t>непосредном</w:t>
      </w:r>
      <w:proofErr w:type="spellEnd"/>
      <w:r>
        <w:t xml:space="preserve"> </w:t>
      </w:r>
      <w:proofErr w:type="spellStart"/>
      <w:r>
        <w:t>погодбом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споразуму</w:t>
      </w:r>
      <w:proofErr w:type="spellEnd"/>
      <w:r>
        <w:t xml:space="preserve"> </w:t>
      </w:r>
      <w:proofErr w:type="spellStart"/>
      <w:r>
        <w:t>странака</w:t>
      </w:r>
      <w:proofErr w:type="spellEnd"/>
      <w:r>
        <w:t xml:space="preserve">,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у </w:t>
      </w:r>
      <w:proofErr w:type="spellStart"/>
      <w:r>
        <w:t>наредна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 </w:t>
      </w:r>
      <w:proofErr w:type="spellStart"/>
      <w:r>
        <w:t>споразум</w:t>
      </w:r>
      <w:proofErr w:type="spellEnd"/>
      <w:r>
        <w:t xml:space="preserve"> и </w:t>
      </w:r>
      <w:proofErr w:type="spellStart"/>
      <w:r>
        <w:t>продуже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закључење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с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измену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 </w:t>
      </w:r>
      <w:proofErr w:type="spellStart"/>
      <w:r>
        <w:t>неопходан</w:t>
      </w:r>
      <w:proofErr w:type="spellEnd"/>
      <w:r>
        <w:t xml:space="preserve"> </w:t>
      </w:r>
      <w:proofErr w:type="spellStart"/>
      <w:r>
        <w:t>пристанак</w:t>
      </w:r>
      <w:proofErr w:type="spellEnd"/>
      <w:r>
        <w:t xml:space="preserve"> </w:t>
      </w:r>
      <w:proofErr w:type="spellStart"/>
      <w:r>
        <w:t>заложног</w:t>
      </w:r>
      <w:proofErr w:type="spellEnd"/>
      <w:r>
        <w:t xml:space="preserve"> </w:t>
      </w:r>
      <w:proofErr w:type="spellStart"/>
      <w:r>
        <w:t>повериоца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прописан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186. </w:t>
      </w:r>
      <w:proofErr w:type="spellStart"/>
      <w:r>
        <w:t>ст</w:t>
      </w:r>
      <w:proofErr w:type="spellEnd"/>
      <w:r>
        <w:t xml:space="preserve">. 4. и 5.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и </w:t>
      </w:r>
      <w:proofErr w:type="spellStart"/>
      <w:r>
        <w:t>обезбеђењу</w:t>
      </w:r>
      <w:proofErr w:type="spellEnd"/>
      <w:r>
        <w:t xml:space="preserve">. У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извршитељ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закључа</w:t>
      </w:r>
      <w:r>
        <w:t>к</w:t>
      </w:r>
      <w:proofErr w:type="spellEnd"/>
      <w:r>
        <w:t xml:space="preserve"> о </w:t>
      </w:r>
      <w:proofErr w:type="spellStart"/>
      <w:r>
        <w:t>продаји</w:t>
      </w:r>
      <w:proofErr w:type="spellEnd"/>
      <w:r>
        <w:t xml:space="preserve"> </w:t>
      </w:r>
      <w:proofErr w:type="spellStart"/>
      <w:r>
        <w:t>покретне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 </w:t>
      </w:r>
      <w:proofErr w:type="spellStart"/>
      <w:r>
        <w:t>непосредном</w:t>
      </w:r>
      <w:proofErr w:type="spellEnd"/>
      <w:r>
        <w:t xml:space="preserve"> </w:t>
      </w:r>
      <w:proofErr w:type="spellStart"/>
      <w:r>
        <w:t>погодбом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споразуму</w:t>
      </w:r>
      <w:proofErr w:type="spellEnd"/>
      <w:r>
        <w:t xml:space="preserve"> </w:t>
      </w:r>
      <w:proofErr w:type="spellStart"/>
      <w:r>
        <w:t>странака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осталог</w:t>
      </w:r>
      <w:proofErr w:type="spellEnd"/>
      <w:r>
        <w:t xml:space="preserve">, </w:t>
      </w:r>
      <w:proofErr w:type="spellStart"/>
      <w:r>
        <w:t>предвиђа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закључи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десет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, а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дужи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десет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о </w:t>
      </w:r>
      <w:proofErr w:type="spellStart"/>
      <w:r>
        <w:t>додељивању</w:t>
      </w:r>
      <w:proofErr w:type="spellEnd"/>
      <w:r>
        <w:t xml:space="preserve"> </w:t>
      </w:r>
      <w:proofErr w:type="spellStart"/>
      <w:r>
        <w:t>покретне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нека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одустане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 </w:t>
      </w:r>
      <w:proofErr w:type="spellStart"/>
      <w:r>
        <w:t>споразум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закључен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продајна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плаћена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–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извршитељ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покре</w:t>
      </w:r>
      <w:r>
        <w:t>тна</w:t>
      </w:r>
      <w:proofErr w:type="spellEnd"/>
      <w:r>
        <w:t xml:space="preserve"> </w:t>
      </w:r>
      <w:proofErr w:type="spellStart"/>
      <w:r>
        <w:t>ствар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продата</w:t>
      </w:r>
      <w:proofErr w:type="spellEnd"/>
      <w:r>
        <w:t xml:space="preserve"> </w:t>
      </w:r>
      <w:proofErr w:type="spellStart"/>
      <w:r>
        <w:t>непосредном</w:t>
      </w:r>
      <w:proofErr w:type="spellEnd"/>
      <w:r>
        <w:t xml:space="preserve"> </w:t>
      </w:r>
      <w:proofErr w:type="spellStart"/>
      <w:r>
        <w:t>погодбом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споразуму</w:t>
      </w:r>
      <w:proofErr w:type="spellEnd"/>
      <w:r>
        <w:t xml:space="preserve"> </w:t>
      </w:r>
      <w:proofErr w:type="spellStart"/>
      <w:r>
        <w:t>странака</w:t>
      </w:r>
      <w:proofErr w:type="spellEnd"/>
      <w:r>
        <w:t xml:space="preserve"> и </w:t>
      </w:r>
      <w:proofErr w:type="spellStart"/>
      <w:r>
        <w:t>наставља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у </w:t>
      </w:r>
      <w:proofErr w:type="spellStart"/>
      <w:r>
        <w:lastRenderedPageBreak/>
        <w:t>стању</w:t>
      </w:r>
      <w:proofErr w:type="spellEnd"/>
      <w:r>
        <w:t xml:space="preserve"> у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налазио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споразумеле</w:t>
      </w:r>
      <w:proofErr w:type="spellEnd"/>
      <w:r>
        <w:t xml:space="preserve"> о </w:t>
      </w:r>
      <w:proofErr w:type="spellStart"/>
      <w:r>
        <w:t>продаји</w:t>
      </w:r>
      <w:proofErr w:type="spellEnd"/>
      <w:r>
        <w:t xml:space="preserve"> </w:t>
      </w:r>
      <w:proofErr w:type="spellStart"/>
      <w:r>
        <w:t>непосредном</w:t>
      </w:r>
      <w:proofErr w:type="spellEnd"/>
      <w:r>
        <w:t xml:space="preserve"> </w:t>
      </w:r>
      <w:proofErr w:type="spellStart"/>
      <w:r>
        <w:t>погодбом</w:t>
      </w:r>
      <w:proofErr w:type="spellEnd"/>
      <w:r>
        <w:t>.</w:t>
      </w:r>
    </w:p>
    <w:p w14:paraId="08B753C4" w14:textId="77777777" w:rsidR="00F402D9" w:rsidRDefault="0035533D">
      <w:pPr>
        <w:pStyle w:val="pStyle22"/>
      </w:pPr>
      <w:r>
        <w:t>X</w:t>
      </w:r>
      <w:r>
        <w:tab/>
      </w:r>
      <w:proofErr w:type="spellStart"/>
      <w:r>
        <w:t>Овај</w:t>
      </w:r>
      <w:proofErr w:type="spellEnd"/>
      <w:r>
        <w:t xml:space="preserve"> </w:t>
      </w:r>
      <w:proofErr w:type="spellStart"/>
      <w:r>
        <w:t>закључак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електронској</w:t>
      </w:r>
      <w:proofErr w:type="spellEnd"/>
      <w:r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rPr>
          <w:color w:val="FF0000"/>
        </w:rPr>
        <w:t>Привредног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суда</w:t>
      </w:r>
      <w:proofErr w:type="spellEnd"/>
      <w:r>
        <w:rPr>
          <w:color w:val="FF0000"/>
        </w:rPr>
        <w:t xml:space="preserve"> у </w:t>
      </w:r>
      <w:proofErr w:type="spellStart"/>
      <w:r>
        <w:rPr>
          <w:color w:val="FF0000"/>
        </w:rPr>
        <w:t>Краљеву</w:t>
      </w:r>
      <w:proofErr w:type="spellEnd"/>
      <w:r>
        <w:rPr>
          <w:color w:val="FF0000"/>
        </w:rP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rPr>
          <w:color w:val="FF0000"/>
        </w:rPr>
        <w:t>Привредног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суда</w:t>
      </w:r>
      <w:proofErr w:type="spellEnd"/>
      <w:r>
        <w:rPr>
          <w:color w:val="FF0000"/>
        </w:rPr>
        <w:t xml:space="preserve"> у </w:t>
      </w:r>
      <w:proofErr w:type="spellStart"/>
      <w:r>
        <w:rPr>
          <w:color w:val="FF0000"/>
        </w:rPr>
        <w:t>Краљеву</w:t>
      </w:r>
      <w:proofErr w:type="spellEnd"/>
      <w:r>
        <w:rPr>
          <w:color w:val="FF0000"/>
        </w:rPr>
        <w:t xml:space="preserve">.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о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трошку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објаве</w:t>
      </w:r>
      <w:proofErr w:type="spellEnd"/>
      <w:r>
        <w:t xml:space="preserve"> </w:t>
      </w:r>
      <w:proofErr w:type="spellStart"/>
      <w:r>
        <w:t>закључак</w:t>
      </w:r>
      <w:proofErr w:type="spellEnd"/>
      <w:r>
        <w:t xml:space="preserve"> у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информисања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о </w:t>
      </w:r>
      <w:proofErr w:type="spellStart"/>
      <w:r>
        <w:t>закључку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посреднике</w:t>
      </w:r>
      <w:proofErr w:type="spellEnd"/>
      <w:r>
        <w:t xml:space="preserve"> у </w:t>
      </w:r>
      <w:proofErr w:type="spellStart"/>
      <w:r>
        <w:t>продаји</w:t>
      </w:r>
      <w:proofErr w:type="spellEnd"/>
      <w:r>
        <w:t>.</w:t>
      </w:r>
    </w:p>
    <w:p w14:paraId="7C152A64" w14:textId="77777777" w:rsidR="00F402D9" w:rsidRDefault="00F402D9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1"/>
        <w:gridCol w:w="846"/>
        <w:gridCol w:w="3788"/>
      </w:tblGrid>
      <w:tr w:rsidR="00F402D9" w14:paraId="1061F496" w14:textId="7777777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000" w:type="dxa"/>
          </w:tcPr>
          <w:p w14:paraId="53083444" w14:textId="77777777" w:rsidR="00F402D9" w:rsidRDefault="0035533D">
            <w:pPr>
              <w:pStyle w:val="pStyle"/>
            </w:pPr>
            <w:r>
              <w:t>ПОУКА О ПРАВНОМ ЛЕКУ:</w:t>
            </w:r>
          </w:p>
          <w:p w14:paraId="7CC9EAF1" w14:textId="77777777" w:rsidR="00F402D9" w:rsidRDefault="0035533D">
            <w:pPr>
              <w:pStyle w:val="pStyle"/>
            </w:pP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овог</w:t>
            </w:r>
            <w:proofErr w:type="spellEnd"/>
            <w:r>
              <w:t xml:space="preserve"> </w:t>
            </w:r>
            <w:proofErr w:type="spellStart"/>
            <w:r>
              <w:t>закључкa</w:t>
            </w:r>
            <w:proofErr w:type="spellEnd"/>
            <w:r>
              <w:t xml:space="preserve"> </w:t>
            </w:r>
            <w:proofErr w:type="spellStart"/>
            <w:r>
              <w:t>нису</w:t>
            </w:r>
            <w:proofErr w:type="spellEnd"/>
            <w:r>
              <w:t xml:space="preserve"> </w:t>
            </w:r>
            <w:proofErr w:type="spellStart"/>
            <w:r>
              <w:t>дозвољени</w:t>
            </w:r>
            <w:proofErr w:type="spellEnd"/>
            <w:r>
              <w:t xml:space="preserve"> </w:t>
            </w:r>
            <w:proofErr w:type="spellStart"/>
            <w:r>
              <w:t>ни</w:t>
            </w:r>
            <w:proofErr w:type="spellEnd"/>
            <w:r>
              <w:t xml:space="preserve"> </w:t>
            </w:r>
            <w:proofErr w:type="spellStart"/>
            <w:r>
              <w:t>приговор</w:t>
            </w:r>
            <w:proofErr w:type="spellEnd"/>
            <w:r>
              <w:t xml:space="preserve">, </w:t>
            </w:r>
            <w:proofErr w:type="spellStart"/>
            <w:r>
              <w:t>ни</w:t>
            </w:r>
            <w:proofErr w:type="spellEnd"/>
            <w:r>
              <w:t xml:space="preserve"> </w:t>
            </w:r>
            <w:proofErr w:type="spellStart"/>
            <w:r>
              <w:t>жалба</w:t>
            </w:r>
            <w:proofErr w:type="spellEnd"/>
            <w:r>
              <w:t>.</w:t>
            </w:r>
          </w:p>
        </w:tc>
        <w:tc>
          <w:tcPr>
            <w:tcW w:w="1000" w:type="dxa"/>
          </w:tcPr>
          <w:p w14:paraId="69472260" w14:textId="77777777" w:rsidR="00F402D9" w:rsidRDefault="00F402D9"/>
        </w:tc>
        <w:tc>
          <w:tcPr>
            <w:tcW w:w="4000" w:type="dxa"/>
            <w:vAlign w:val="bottom"/>
          </w:tcPr>
          <w:p w14:paraId="68FE9C68" w14:textId="77777777" w:rsidR="00F402D9" w:rsidRDefault="0035533D">
            <w:pPr>
              <w:pStyle w:val="pStyle3"/>
            </w:pPr>
            <w:r>
              <w:t>ЈАВНИ ИЗВРШИТЕЉ</w:t>
            </w:r>
          </w:p>
          <w:p w14:paraId="0AC33254" w14:textId="77777777" w:rsidR="00F402D9" w:rsidRDefault="0035533D">
            <w:pPr>
              <w:pStyle w:val="pStyle3"/>
            </w:pPr>
            <w:r>
              <w:rPr>
                <w:sz w:val="48"/>
                <w:szCs w:val="48"/>
              </w:rPr>
              <w:t>___________</w:t>
            </w:r>
          </w:p>
          <w:p w14:paraId="7D6E6D3F" w14:textId="77777777" w:rsidR="00F402D9" w:rsidRDefault="0035533D">
            <w:pPr>
              <w:pStyle w:val="pStyle3"/>
            </w:pP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Миловановић</w:t>
            </w:r>
            <w:proofErr w:type="spellEnd"/>
          </w:p>
        </w:tc>
      </w:tr>
    </w:tbl>
    <w:p w14:paraId="18F0EB26" w14:textId="77777777" w:rsidR="00F402D9" w:rsidRDefault="00F402D9"/>
    <w:p w14:paraId="6D79BD4F" w14:textId="77777777" w:rsidR="00F402D9" w:rsidRDefault="0035533D">
      <w:pPr>
        <w:pStyle w:val="pStyle"/>
      </w:pPr>
      <w:r>
        <w:t xml:space="preserve">ДН-а: </w:t>
      </w:r>
    </w:p>
    <w:p w14:paraId="72607BDA" w14:textId="77777777" w:rsidR="00F402D9" w:rsidRDefault="0035533D">
      <w:pPr>
        <w:pStyle w:val="pStyle"/>
      </w:pPr>
      <w:r>
        <w:t xml:space="preserve">- </w:t>
      </w:r>
      <w:proofErr w:type="spellStart"/>
      <w:r>
        <w:t>Пуномоћнику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повериоца</w:t>
      </w:r>
      <w:proofErr w:type="spellEnd"/>
    </w:p>
    <w:p w14:paraId="7A7C59A5" w14:textId="77777777" w:rsidR="00F402D9" w:rsidRDefault="0035533D">
      <w:pPr>
        <w:pStyle w:val="pStyle"/>
      </w:pPr>
      <w:r>
        <w:t xml:space="preserve">- </w:t>
      </w:r>
      <w:proofErr w:type="spellStart"/>
      <w:r>
        <w:t>Извршном</w:t>
      </w:r>
      <w:proofErr w:type="spellEnd"/>
      <w:r>
        <w:t xml:space="preserve"> </w:t>
      </w:r>
      <w:proofErr w:type="spellStart"/>
      <w:r>
        <w:t>дужнику</w:t>
      </w:r>
      <w:proofErr w:type="spellEnd"/>
    </w:p>
    <w:p w14:paraId="0F880E19" w14:textId="77777777" w:rsidR="00F402D9" w:rsidRDefault="0035533D">
      <w:pPr>
        <w:pStyle w:val="pStyle"/>
      </w:pPr>
      <w:r>
        <w:t xml:space="preserve">- </w:t>
      </w:r>
      <w:proofErr w:type="spellStart"/>
      <w:r>
        <w:t>Портал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(www.еaukcija.gov.rs)</w:t>
      </w:r>
    </w:p>
    <w:p w14:paraId="719191FF" w14:textId="77777777" w:rsidR="00F402D9" w:rsidRDefault="0035533D">
      <w:pPr>
        <w:pStyle w:val="pStyle"/>
      </w:pPr>
      <w:r>
        <w:t xml:space="preserve">- </w:t>
      </w:r>
      <w:proofErr w:type="spellStart"/>
      <w:r>
        <w:t>Комори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, </w:t>
      </w:r>
      <w:proofErr w:type="spellStart"/>
      <w:r>
        <w:t>електронску</w:t>
      </w:r>
      <w:proofErr w:type="spellEnd"/>
      <w:r>
        <w:t xml:space="preserve"> </w:t>
      </w:r>
      <w:proofErr w:type="spellStart"/>
      <w:r>
        <w:t>огласну</w:t>
      </w:r>
      <w:proofErr w:type="spellEnd"/>
      <w:r>
        <w:t xml:space="preserve"> </w:t>
      </w:r>
      <w:proofErr w:type="spellStart"/>
      <w:r>
        <w:t>таблу</w:t>
      </w:r>
      <w:proofErr w:type="spellEnd"/>
    </w:p>
    <w:p w14:paraId="789AD753" w14:textId="77777777" w:rsidR="00F402D9" w:rsidRDefault="0035533D">
      <w:pPr>
        <w:pStyle w:val="pStyle"/>
      </w:pPr>
      <w:r>
        <w:rPr>
          <w:color w:val="FF0000"/>
        </w:rPr>
        <w:t xml:space="preserve">- Привредном </w:t>
      </w:r>
      <w:proofErr w:type="spellStart"/>
      <w:r>
        <w:rPr>
          <w:color w:val="FF0000"/>
        </w:rPr>
        <w:t>суду</w:t>
      </w:r>
      <w:proofErr w:type="spellEnd"/>
      <w:r>
        <w:rPr>
          <w:color w:val="FF0000"/>
        </w:rPr>
        <w:t xml:space="preserve"> у </w:t>
      </w:r>
      <w:proofErr w:type="spellStart"/>
      <w:r>
        <w:rPr>
          <w:color w:val="FF0000"/>
        </w:rPr>
        <w:t>Краљеву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огласну</w:t>
      </w:r>
      <w:proofErr w:type="spellEnd"/>
      <w:r>
        <w:t xml:space="preserve"> </w:t>
      </w:r>
      <w:proofErr w:type="spellStart"/>
      <w:r>
        <w:t>таблу</w:t>
      </w:r>
      <w:proofErr w:type="spellEnd"/>
    </w:p>
    <w:p w14:paraId="6743765F" w14:textId="77777777" w:rsidR="00F402D9" w:rsidRDefault="0035533D">
      <w:pPr>
        <w:pStyle w:val="pStyle"/>
      </w:pPr>
      <w:r>
        <w:rPr>
          <w:color w:val="FF0000"/>
        </w:rPr>
        <w:t xml:space="preserve">- Привредном </w:t>
      </w:r>
      <w:proofErr w:type="spellStart"/>
      <w:r>
        <w:rPr>
          <w:color w:val="FF0000"/>
        </w:rPr>
        <w:t>суду</w:t>
      </w:r>
      <w:proofErr w:type="spellEnd"/>
      <w:r>
        <w:rPr>
          <w:color w:val="FF0000"/>
        </w:rPr>
        <w:t xml:space="preserve"> у </w:t>
      </w:r>
      <w:proofErr w:type="spellStart"/>
      <w:r>
        <w:rPr>
          <w:color w:val="FF0000"/>
        </w:rPr>
        <w:t>Краљеву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страницу</w:t>
      </w:r>
      <w:proofErr w:type="spellEnd"/>
    </w:p>
    <w:p w14:paraId="1912F6E5" w14:textId="77777777" w:rsidR="0035533D" w:rsidRDefault="0035533D">
      <w:pPr>
        <w:pStyle w:val="pStyle"/>
      </w:pPr>
    </w:p>
    <w:p w14:paraId="2F17AE83" w14:textId="0AE12CAF" w:rsidR="0035533D" w:rsidRPr="0035533D" w:rsidRDefault="0035533D">
      <w:pPr>
        <w:pStyle w:val="pStyle"/>
        <w:rPr>
          <w:b/>
          <w:bCs/>
          <w:lang w:val="sr-Cyrl-RS"/>
        </w:rPr>
      </w:pPr>
      <w:r w:rsidRPr="0035533D">
        <w:rPr>
          <w:b/>
          <w:bCs/>
          <w:lang w:val="sr-Cyrl-RS"/>
        </w:rPr>
        <w:t>СМ</w:t>
      </w:r>
    </w:p>
    <w:sectPr w:rsidR="0035533D" w:rsidRPr="0035533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2D9"/>
    <w:rsid w:val="0035533D"/>
    <w:rsid w:val="00F4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CB71DF"/>
  <w15:docId w15:val="{1BD2BDC0-CC11-435C-91DD-8B2D43B4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R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50" w:after="150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spacing w:after="0"/>
      <w:jc w:val="both"/>
    </w:pPr>
  </w:style>
  <w:style w:type="paragraph" w:customStyle="1" w:styleId="pStyle2">
    <w:name w:val="pStyle2"/>
    <w:basedOn w:val="Normal"/>
    <w:pPr>
      <w:spacing w:before="200" w:after="200"/>
      <w:ind w:firstLine="500"/>
      <w:jc w:val="both"/>
    </w:pPr>
  </w:style>
  <w:style w:type="paragraph" w:customStyle="1" w:styleId="pStyle22">
    <w:name w:val="pStyle22"/>
    <w:basedOn w:val="Normal"/>
    <w:pPr>
      <w:spacing w:before="200" w:after="200"/>
      <w:jc w:val="both"/>
    </w:pPr>
  </w:style>
  <w:style w:type="paragraph" w:customStyle="1" w:styleId="pStyle3">
    <w:name w:val="pStyle3"/>
    <w:basedOn w:val="Normal"/>
    <w:pPr>
      <w:spacing w:after="0"/>
      <w:jc w:val="center"/>
    </w:pPr>
  </w:style>
  <w:style w:type="paragraph" w:customStyle="1" w:styleId="nabrajanje">
    <w:name w:val="nabrajanje"/>
    <w:basedOn w:val="Normal"/>
    <w:pPr>
      <w:spacing w:after="0"/>
      <w:ind w:left="800"/>
      <w:jc w:val="both"/>
    </w:pPr>
  </w:style>
  <w:style w:type="paragraph" w:customStyle="1" w:styleId="nabrajanje2">
    <w:name w:val="nabrajanje2"/>
    <w:basedOn w:val="Normal"/>
    <w:pPr>
      <w:spacing w:after="0"/>
      <w:ind w:left="1000"/>
      <w:jc w:val="both"/>
    </w:pPr>
  </w:style>
  <w:style w:type="paragraph" w:customStyle="1" w:styleId="heading11">
    <w:name w:val="heading 11"/>
    <w:basedOn w:val="Normal"/>
    <w:pPr>
      <w:spacing w:before="150" w:after="0"/>
      <w:jc w:val="center"/>
    </w:pPr>
  </w:style>
  <w:style w:type="paragraph" w:customStyle="1" w:styleId="heading12">
    <w:name w:val="heading 12"/>
    <w:basedOn w:val="Normal"/>
    <w:pPr>
      <w:spacing w:after="150"/>
      <w:jc w:val="center"/>
    </w:pPr>
  </w:style>
  <w:style w:type="paragraph" w:customStyle="1" w:styleId="zaglavlje">
    <w:name w:val="zaglavlje"/>
    <w:basedOn w:val="Normal"/>
    <w:pPr>
      <w:spacing w:after="0"/>
      <w:ind w:right="4000"/>
      <w:jc w:val="both"/>
    </w:pPr>
  </w:style>
  <w:style w:type="table" w:customStyle="1" w:styleId="tabela1">
    <w:name w:val="tabela1"/>
    <w:uiPriority w:val="99"/>
    <w:tblPr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20" w:type="dxa"/>
        <w:left w:w="20" w:type="dxa"/>
        <w:bottom w:w="20" w:type="dxa"/>
        <w:right w:w="2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1796</Words>
  <Characters>10238</Characters>
  <Application>Microsoft Office Word</Application>
  <DocSecurity>0</DocSecurity>
  <Lines>85</Lines>
  <Paragraphs>24</Paragraphs>
  <ScaleCrop>false</ScaleCrop>
  <Manager/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Milovanovic</dc:creator>
  <cp:keywords/>
  <dc:description/>
  <cp:lastModifiedBy>Ivan Milovanovic</cp:lastModifiedBy>
  <cp:revision>2</cp:revision>
  <dcterms:created xsi:type="dcterms:W3CDTF">2024-03-06T12:34:00Z</dcterms:created>
  <dcterms:modified xsi:type="dcterms:W3CDTF">2024-03-06T12:34:00Z</dcterms:modified>
  <cp:category/>
</cp:coreProperties>
</file>